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3C7C" w14:textId="77777777" w:rsidR="00296CAE" w:rsidRPr="003F0A5A" w:rsidRDefault="00296CAE" w:rsidP="00296CAE">
      <w:pPr>
        <w:jc w:val="center"/>
        <w:rPr>
          <w:rFonts w:ascii="Times New Roman" w:hAnsi="Times New Roman" w:cs="Times New Roman"/>
          <w:b/>
          <w:sz w:val="24"/>
          <w:szCs w:val="24"/>
        </w:rPr>
      </w:pPr>
      <w:r w:rsidRPr="003F0A5A">
        <w:rPr>
          <w:rFonts w:ascii="Times New Roman" w:hAnsi="Times New Roman" w:cs="Times New Roman"/>
          <w:b/>
          <w:sz w:val="24"/>
          <w:szCs w:val="24"/>
        </w:rPr>
        <w:t>COMMONWEALTH OF MASSACHUSETTS</w:t>
      </w:r>
    </w:p>
    <w:p w14:paraId="199C229D" w14:textId="77777777" w:rsidR="00296CAE" w:rsidRPr="003F0A5A" w:rsidRDefault="00296CAE" w:rsidP="00296CAE">
      <w:pPr>
        <w:jc w:val="center"/>
        <w:rPr>
          <w:rFonts w:ascii="Times New Roman" w:hAnsi="Times New Roman" w:cs="Times New Roman"/>
          <w:b/>
          <w:sz w:val="24"/>
          <w:szCs w:val="24"/>
        </w:rPr>
      </w:pPr>
      <w:r w:rsidRPr="003F0A5A">
        <w:rPr>
          <w:rFonts w:ascii="Times New Roman" w:hAnsi="Times New Roman" w:cs="Times New Roman"/>
          <w:b/>
          <w:sz w:val="24"/>
          <w:szCs w:val="24"/>
        </w:rPr>
        <w:t>DIVISION OF ADMINISTRATIVE LAW APPEALS</w:t>
      </w:r>
    </w:p>
    <w:p w14:paraId="15E8920B" w14:textId="77777777" w:rsidR="00296CAE" w:rsidRPr="003F0A5A" w:rsidRDefault="00296CAE" w:rsidP="00296CAE">
      <w:pPr>
        <w:jc w:val="center"/>
        <w:rPr>
          <w:rFonts w:ascii="Times New Roman" w:hAnsi="Times New Roman" w:cs="Times New Roman"/>
          <w:b/>
          <w:sz w:val="24"/>
          <w:szCs w:val="24"/>
        </w:rPr>
      </w:pPr>
      <w:r w:rsidRPr="003F0A5A">
        <w:rPr>
          <w:rFonts w:ascii="Times New Roman" w:hAnsi="Times New Roman" w:cs="Times New Roman"/>
          <w:b/>
          <w:sz w:val="24"/>
          <w:szCs w:val="24"/>
        </w:rPr>
        <w:t>BUREAU OF SPECIAL EDUCATION APPEALS</w:t>
      </w:r>
    </w:p>
    <w:p w14:paraId="16375B88" w14:textId="77777777" w:rsidR="00296CAE" w:rsidRPr="003F0A5A" w:rsidRDefault="00296CAE" w:rsidP="00296CAE">
      <w:pPr>
        <w:rPr>
          <w:rFonts w:ascii="Times New Roman" w:hAnsi="Times New Roman" w:cs="Times New Roman"/>
          <w:sz w:val="24"/>
          <w:szCs w:val="24"/>
        </w:rPr>
      </w:pPr>
    </w:p>
    <w:p w14:paraId="64BF3856" w14:textId="77777777" w:rsidR="00296CAE" w:rsidRPr="003F0A5A" w:rsidRDefault="00296CAE" w:rsidP="00296CAE">
      <w:pPr>
        <w:rPr>
          <w:rFonts w:ascii="Times New Roman" w:hAnsi="Times New Roman" w:cs="Times New Roman"/>
          <w:sz w:val="24"/>
          <w:szCs w:val="24"/>
        </w:rPr>
      </w:pPr>
    </w:p>
    <w:p w14:paraId="5199065E" w14:textId="473529FB" w:rsidR="00296CAE" w:rsidRPr="003F0A5A" w:rsidRDefault="00296CAE" w:rsidP="007D5ADE">
      <w:pPr>
        <w:rPr>
          <w:rFonts w:ascii="Times New Roman" w:hAnsi="Times New Roman" w:cs="Times New Roman"/>
          <w:b/>
          <w:bCs/>
          <w:sz w:val="24"/>
          <w:szCs w:val="24"/>
        </w:rPr>
      </w:pPr>
      <w:r w:rsidRPr="003F0A5A">
        <w:rPr>
          <w:rFonts w:ascii="Times New Roman" w:hAnsi="Times New Roman" w:cs="Times New Roman"/>
          <w:b/>
          <w:bCs/>
          <w:sz w:val="24"/>
          <w:szCs w:val="24"/>
        </w:rPr>
        <w:t>In Re:  Student &amp; Malden Public Schools</w:t>
      </w:r>
      <w:r w:rsidRPr="003F0A5A">
        <w:rPr>
          <w:rFonts w:ascii="Times New Roman" w:hAnsi="Times New Roman" w:cs="Times New Roman"/>
          <w:b/>
          <w:bCs/>
          <w:sz w:val="24"/>
          <w:szCs w:val="24"/>
        </w:rPr>
        <w:tab/>
      </w:r>
      <w:r w:rsidRPr="003F0A5A">
        <w:rPr>
          <w:rFonts w:ascii="Times New Roman" w:hAnsi="Times New Roman" w:cs="Times New Roman"/>
          <w:b/>
          <w:bCs/>
          <w:sz w:val="24"/>
          <w:szCs w:val="24"/>
        </w:rPr>
        <w:tab/>
      </w:r>
      <w:r w:rsidRPr="003F0A5A">
        <w:rPr>
          <w:rFonts w:ascii="Times New Roman" w:hAnsi="Times New Roman" w:cs="Times New Roman"/>
          <w:b/>
          <w:bCs/>
          <w:sz w:val="24"/>
          <w:szCs w:val="24"/>
        </w:rPr>
        <w:tab/>
      </w:r>
      <w:r w:rsidRPr="003F0A5A">
        <w:rPr>
          <w:rFonts w:ascii="Times New Roman" w:hAnsi="Times New Roman" w:cs="Times New Roman"/>
          <w:b/>
          <w:bCs/>
          <w:sz w:val="24"/>
          <w:szCs w:val="24"/>
        </w:rPr>
        <w:tab/>
        <w:t xml:space="preserve">   </w:t>
      </w:r>
      <w:r w:rsidRPr="003F0A5A">
        <w:rPr>
          <w:rFonts w:ascii="Times New Roman" w:hAnsi="Times New Roman" w:cs="Times New Roman"/>
          <w:b/>
          <w:bCs/>
          <w:sz w:val="24"/>
          <w:szCs w:val="24"/>
        </w:rPr>
        <w:tab/>
        <w:t>BSEA No. 2206355</w:t>
      </w:r>
    </w:p>
    <w:p w14:paraId="769633F0" w14:textId="77777777" w:rsidR="00296CAE" w:rsidRPr="003F0A5A" w:rsidRDefault="00296CAE" w:rsidP="004955A1">
      <w:pPr>
        <w:shd w:val="clear" w:color="auto" w:fill="FFFFFF"/>
        <w:spacing w:after="240"/>
        <w:jc w:val="center"/>
        <w:rPr>
          <w:rFonts w:ascii="Times New Roman" w:eastAsia="Times New Roman" w:hAnsi="Times New Roman" w:cs="Times New Roman"/>
          <w:b/>
          <w:bCs/>
          <w:sz w:val="24"/>
          <w:szCs w:val="24"/>
          <w:u w:val="single"/>
        </w:rPr>
      </w:pPr>
    </w:p>
    <w:p w14:paraId="7B537EB0" w14:textId="034B6EB3" w:rsidR="00296CAE" w:rsidRPr="003F0A5A" w:rsidRDefault="00296CAE" w:rsidP="00296CAE">
      <w:pPr>
        <w:shd w:val="clear" w:color="auto" w:fill="FFFFFF"/>
        <w:jc w:val="center"/>
        <w:rPr>
          <w:rFonts w:ascii="Times New Roman" w:eastAsia="Times New Roman" w:hAnsi="Times New Roman" w:cs="Times New Roman"/>
          <w:b/>
          <w:bCs/>
          <w:sz w:val="24"/>
          <w:szCs w:val="24"/>
          <w:u w:val="single"/>
        </w:rPr>
      </w:pPr>
      <w:r w:rsidRPr="003F0A5A">
        <w:rPr>
          <w:rFonts w:ascii="Times New Roman" w:eastAsia="Times New Roman" w:hAnsi="Times New Roman" w:cs="Times New Roman"/>
          <w:b/>
          <w:bCs/>
          <w:sz w:val="24"/>
          <w:szCs w:val="24"/>
          <w:u w:val="single"/>
        </w:rPr>
        <w:t xml:space="preserve">RULING ON MALDEN PUBLIC SCHOOLS’ MOTION TO DISMISS </w:t>
      </w:r>
    </w:p>
    <w:p w14:paraId="4D30138F" w14:textId="248FFACB" w:rsidR="00296CAE" w:rsidRPr="003F0A5A" w:rsidRDefault="00296CAE" w:rsidP="007D5ADE">
      <w:pPr>
        <w:shd w:val="clear" w:color="auto" w:fill="FFFFFF"/>
        <w:rPr>
          <w:rFonts w:ascii="Times New Roman" w:eastAsia="Times New Roman" w:hAnsi="Times New Roman" w:cs="Times New Roman"/>
          <w:sz w:val="24"/>
          <w:szCs w:val="24"/>
          <w:u w:val="single"/>
        </w:rPr>
      </w:pPr>
    </w:p>
    <w:p w14:paraId="486B24E6" w14:textId="0E9E101C" w:rsidR="00296CAE" w:rsidRPr="003F0A5A" w:rsidRDefault="00296CAE" w:rsidP="00736135">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This matter comes before the Hearing Officer on the Malden Public Schools’ (Malden</w:t>
      </w:r>
      <w:r w:rsidR="00CA79B3" w:rsidRPr="003F0A5A">
        <w:rPr>
          <w:rFonts w:ascii="Times New Roman" w:eastAsia="Times New Roman" w:hAnsi="Times New Roman" w:cs="Times New Roman"/>
          <w:sz w:val="24"/>
          <w:szCs w:val="24"/>
        </w:rPr>
        <w:t xml:space="preserve"> or District</w:t>
      </w:r>
      <w:r w:rsidRPr="003F0A5A">
        <w:rPr>
          <w:rFonts w:ascii="Times New Roman" w:eastAsia="Times New Roman" w:hAnsi="Times New Roman" w:cs="Times New Roman"/>
          <w:sz w:val="24"/>
          <w:szCs w:val="24"/>
        </w:rPr>
        <w:t xml:space="preserve">) </w:t>
      </w:r>
      <w:r w:rsidR="008B0FF5" w:rsidRPr="003F0A5A">
        <w:rPr>
          <w:rFonts w:ascii="Times New Roman" w:eastAsia="Times New Roman" w:hAnsi="Times New Roman" w:cs="Times New Roman"/>
          <w:i/>
          <w:iCs/>
          <w:sz w:val="24"/>
          <w:szCs w:val="24"/>
        </w:rPr>
        <w:t>Response to Parent’s Hearing Request/</w:t>
      </w:r>
      <w:r w:rsidRPr="003F0A5A">
        <w:rPr>
          <w:rFonts w:ascii="Times New Roman" w:eastAsia="Times New Roman" w:hAnsi="Times New Roman" w:cs="Times New Roman"/>
          <w:i/>
          <w:iCs/>
          <w:sz w:val="24"/>
          <w:szCs w:val="24"/>
        </w:rPr>
        <w:t xml:space="preserve">Motion to Dismiss </w:t>
      </w:r>
      <w:r w:rsidRPr="003F0A5A">
        <w:rPr>
          <w:rFonts w:ascii="Times New Roman" w:eastAsia="Times New Roman" w:hAnsi="Times New Roman" w:cs="Times New Roman"/>
          <w:sz w:val="24"/>
          <w:szCs w:val="24"/>
        </w:rPr>
        <w:t>(</w:t>
      </w:r>
      <w:r w:rsidR="007940B7" w:rsidRPr="003F0A5A">
        <w:rPr>
          <w:rFonts w:ascii="Times New Roman" w:eastAsia="Times New Roman" w:hAnsi="Times New Roman" w:cs="Times New Roman"/>
          <w:i/>
          <w:iCs/>
          <w:sz w:val="24"/>
          <w:szCs w:val="24"/>
        </w:rPr>
        <w:t>Response/</w:t>
      </w:r>
      <w:r w:rsidRPr="003F0A5A">
        <w:rPr>
          <w:rFonts w:ascii="Times New Roman" w:eastAsia="Times New Roman" w:hAnsi="Times New Roman" w:cs="Times New Roman"/>
          <w:i/>
          <w:iCs/>
          <w:sz w:val="24"/>
          <w:szCs w:val="24"/>
        </w:rPr>
        <w:t>Motion</w:t>
      </w:r>
      <w:r w:rsidRPr="003F0A5A">
        <w:rPr>
          <w:rFonts w:ascii="Times New Roman" w:eastAsia="Times New Roman" w:hAnsi="Times New Roman" w:cs="Times New Roman"/>
          <w:sz w:val="24"/>
          <w:szCs w:val="24"/>
        </w:rPr>
        <w:t xml:space="preserve">), which was filed with the BSEA on February 22, 2022.  As grounds for its </w:t>
      </w:r>
      <w:r w:rsidR="007940B7" w:rsidRPr="003F0A5A">
        <w:rPr>
          <w:rFonts w:ascii="Times New Roman" w:eastAsia="Times New Roman" w:hAnsi="Times New Roman" w:cs="Times New Roman"/>
          <w:i/>
          <w:iCs/>
          <w:sz w:val="24"/>
          <w:szCs w:val="24"/>
        </w:rPr>
        <w:t>Response/Motion</w:t>
      </w:r>
      <w:r w:rsidRPr="003F0A5A">
        <w:rPr>
          <w:rFonts w:ascii="Times New Roman" w:eastAsia="Times New Roman" w:hAnsi="Times New Roman" w:cs="Times New Roman"/>
          <w:sz w:val="24"/>
          <w:szCs w:val="24"/>
        </w:rPr>
        <w:t>, Malden asserts that all the claims contained in Parent</w:t>
      </w:r>
      <w:r w:rsidR="00F921EF">
        <w:rPr>
          <w:rFonts w:ascii="Times New Roman" w:eastAsia="Times New Roman" w:hAnsi="Times New Roman" w:cs="Times New Roman"/>
          <w:sz w:val="24"/>
          <w:szCs w:val="24"/>
        </w:rPr>
        <w:t>’s</w:t>
      </w:r>
      <w:r w:rsidRPr="003F0A5A">
        <w:rPr>
          <w:rFonts w:ascii="Times New Roman" w:eastAsia="Times New Roman" w:hAnsi="Times New Roman" w:cs="Times New Roman"/>
          <w:sz w:val="24"/>
          <w:szCs w:val="24"/>
        </w:rPr>
        <w:t xml:space="preserve"> </w:t>
      </w:r>
      <w:r w:rsidRPr="003F0A5A">
        <w:rPr>
          <w:rFonts w:ascii="Times New Roman" w:eastAsia="Times New Roman" w:hAnsi="Times New Roman" w:cs="Times New Roman"/>
          <w:i/>
          <w:iCs/>
          <w:sz w:val="24"/>
          <w:szCs w:val="24"/>
        </w:rPr>
        <w:t xml:space="preserve">Hearing Request </w:t>
      </w:r>
      <w:r w:rsidRPr="003F0A5A">
        <w:rPr>
          <w:rFonts w:ascii="Times New Roman" w:eastAsia="Times New Roman" w:hAnsi="Times New Roman" w:cs="Times New Roman"/>
          <w:sz w:val="24"/>
          <w:szCs w:val="24"/>
        </w:rPr>
        <w:t xml:space="preserve">are </w:t>
      </w:r>
      <w:r w:rsidR="00F74886">
        <w:rPr>
          <w:rFonts w:ascii="Times New Roman" w:eastAsia="Times New Roman" w:hAnsi="Times New Roman" w:cs="Times New Roman"/>
          <w:sz w:val="24"/>
          <w:szCs w:val="24"/>
        </w:rPr>
        <w:t>beyond</w:t>
      </w:r>
      <w:r w:rsidRPr="003F0A5A">
        <w:rPr>
          <w:rFonts w:ascii="Times New Roman" w:eastAsia="Times New Roman" w:hAnsi="Times New Roman" w:cs="Times New Roman"/>
          <w:sz w:val="24"/>
          <w:szCs w:val="24"/>
        </w:rPr>
        <w:t xml:space="preserve"> the two-year statute of limitations, and, therefore, are either time-barred or outside the jurisdiction of the BSEA.  </w:t>
      </w:r>
      <w:r w:rsidR="00832A23">
        <w:rPr>
          <w:rFonts w:ascii="Times New Roman" w:eastAsia="Times New Roman" w:hAnsi="Times New Roman" w:cs="Times New Roman"/>
          <w:sz w:val="24"/>
          <w:szCs w:val="24"/>
        </w:rPr>
        <w:t xml:space="preserve">Additionally, Malden asserts that the BSEA is unable to grant the relief requested by the Parent.  </w:t>
      </w:r>
      <w:r w:rsidRPr="003F0A5A">
        <w:rPr>
          <w:rFonts w:ascii="Times New Roman" w:eastAsia="Times New Roman" w:hAnsi="Times New Roman" w:cs="Times New Roman"/>
          <w:sz w:val="24"/>
          <w:szCs w:val="24"/>
        </w:rPr>
        <w:t xml:space="preserve">As such, Malden submits that all claims in the </w:t>
      </w:r>
      <w:r w:rsidRPr="003F0A5A">
        <w:rPr>
          <w:rFonts w:ascii="Times New Roman" w:eastAsia="Times New Roman" w:hAnsi="Times New Roman" w:cs="Times New Roman"/>
          <w:i/>
          <w:iCs/>
          <w:sz w:val="24"/>
          <w:szCs w:val="24"/>
        </w:rPr>
        <w:t>Hearing Request</w:t>
      </w:r>
      <w:r w:rsidRPr="003F0A5A">
        <w:rPr>
          <w:rFonts w:ascii="Times New Roman" w:eastAsia="Times New Roman" w:hAnsi="Times New Roman" w:cs="Times New Roman"/>
          <w:sz w:val="24"/>
          <w:szCs w:val="24"/>
        </w:rPr>
        <w:t xml:space="preserve"> must be dismissed.  </w:t>
      </w:r>
    </w:p>
    <w:p w14:paraId="16025404" w14:textId="77777777" w:rsidR="00736135" w:rsidRPr="003F0A5A" w:rsidRDefault="00736135" w:rsidP="00736135">
      <w:pPr>
        <w:shd w:val="clear" w:color="auto" w:fill="FFFFFF"/>
        <w:rPr>
          <w:rFonts w:ascii="Times New Roman" w:eastAsia="Times New Roman" w:hAnsi="Times New Roman" w:cs="Times New Roman"/>
          <w:sz w:val="24"/>
          <w:szCs w:val="24"/>
        </w:rPr>
      </w:pPr>
    </w:p>
    <w:p w14:paraId="51735E20" w14:textId="096A4C80" w:rsidR="00296CAE" w:rsidRPr="003F0A5A" w:rsidRDefault="00296CAE" w:rsidP="00736135">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For the reasons articulated below, Malden’s </w:t>
      </w:r>
      <w:r w:rsidR="007940B7" w:rsidRPr="003F0A5A">
        <w:rPr>
          <w:rFonts w:ascii="Times New Roman" w:eastAsia="Times New Roman" w:hAnsi="Times New Roman" w:cs="Times New Roman"/>
          <w:i/>
          <w:iCs/>
          <w:sz w:val="24"/>
          <w:szCs w:val="24"/>
        </w:rPr>
        <w:t>Response/</w:t>
      </w:r>
      <w:r w:rsidRPr="003F0A5A">
        <w:rPr>
          <w:rFonts w:ascii="Times New Roman" w:eastAsia="Times New Roman" w:hAnsi="Times New Roman" w:cs="Times New Roman"/>
          <w:i/>
          <w:iCs/>
          <w:sz w:val="24"/>
          <w:szCs w:val="24"/>
        </w:rPr>
        <w:t>Motion</w:t>
      </w:r>
      <w:r w:rsidRPr="003F0A5A">
        <w:rPr>
          <w:rFonts w:ascii="Times New Roman" w:eastAsia="Times New Roman" w:hAnsi="Times New Roman" w:cs="Times New Roman"/>
          <w:sz w:val="24"/>
          <w:szCs w:val="24"/>
        </w:rPr>
        <w:t xml:space="preserve"> is </w:t>
      </w:r>
      <w:r w:rsidRPr="003F0A5A">
        <w:rPr>
          <w:rFonts w:ascii="Times New Roman" w:eastAsia="Times New Roman" w:hAnsi="Times New Roman" w:cs="Times New Roman"/>
          <w:b/>
          <w:bCs/>
          <w:sz w:val="24"/>
          <w:szCs w:val="24"/>
        </w:rPr>
        <w:t>ALLOWED</w:t>
      </w:r>
      <w:r w:rsidRPr="003F0A5A">
        <w:rPr>
          <w:rFonts w:ascii="Times New Roman" w:eastAsia="Times New Roman" w:hAnsi="Times New Roman" w:cs="Times New Roman"/>
          <w:sz w:val="24"/>
          <w:szCs w:val="24"/>
        </w:rPr>
        <w:t xml:space="preserve"> as to all claims contained in the Hearing Request, and this matter is hereby </w:t>
      </w:r>
      <w:r w:rsidRPr="003F0A5A">
        <w:rPr>
          <w:rFonts w:ascii="Times New Roman" w:eastAsia="Times New Roman" w:hAnsi="Times New Roman" w:cs="Times New Roman"/>
          <w:b/>
          <w:bCs/>
          <w:sz w:val="24"/>
          <w:szCs w:val="24"/>
        </w:rPr>
        <w:t xml:space="preserve">DISMISSED </w:t>
      </w:r>
      <w:r w:rsidRPr="003F0A5A">
        <w:rPr>
          <w:rFonts w:ascii="Times New Roman" w:eastAsia="Times New Roman" w:hAnsi="Times New Roman" w:cs="Times New Roman"/>
          <w:i/>
          <w:iCs/>
          <w:sz w:val="24"/>
          <w:szCs w:val="24"/>
        </w:rPr>
        <w:t>with prejudice</w:t>
      </w:r>
      <w:r w:rsidRPr="003F0A5A">
        <w:rPr>
          <w:rFonts w:ascii="Times New Roman" w:eastAsia="Times New Roman" w:hAnsi="Times New Roman" w:cs="Times New Roman"/>
          <w:sz w:val="24"/>
          <w:szCs w:val="24"/>
        </w:rPr>
        <w:t xml:space="preserve">.  </w:t>
      </w:r>
    </w:p>
    <w:p w14:paraId="185DDB82" w14:textId="77777777" w:rsidR="00736135" w:rsidRPr="003F0A5A" w:rsidRDefault="00736135" w:rsidP="00736135">
      <w:pPr>
        <w:shd w:val="clear" w:color="auto" w:fill="FFFFFF"/>
        <w:jc w:val="center"/>
        <w:rPr>
          <w:rFonts w:ascii="Times New Roman" w:eastAsia="Times New Roman" w:hAnsi="Times New Roman" w:cs="Times New Roman"/>
          <w:b/>
          <w:bCs/>
          <w:sz w:val="24"/>
          <w:szCs w:val="24"/>
        </w:rPr>
      </w:pPr>
    </w:p>
    <w:p w14:paraId="51EED1E8" w14:textId="4930BC90" w:rsidR="00296CAE" w:rsidRPr="003F0A5A" w:rsidRDefault="00296CAE" w:rsidP="00736135">
      <w:pPr>
        <w:shd w:val="clear" w:color="auto" w:fill="FFFFFF"/>
        <w:jc w:val="center"/>
        <w:rPr>
          <w:rFonts w:ascii="Times New Roman" w:eastAsia="Times New Roman" w:hAnsi="Times New Roman" w:cs="Times New Roman"/>
          <w:b/>
          <w:bCs/>
          <w:sz w:val="24"/>
          <w:szCs w:val="24"/>
        </w:rPr>
      </w:pPr>
      <w:r w:rsidRPr="003F0A5A">
        <w:rPr>
          <w:rFonts w:ascii="Times New Roman" w:eastAsia="Times New Roman" w:hAnsi="Times New Roman" w:cs="Times New Roman"/>
          <w:b/>
          <w:bCs/>
          <w:sz w:val="24"/>
          <w:szCs w:val="24"/>
        </w:rPr>
        <w:t>RELEVANT PROCEDURAL HISTORY</w:t>
      </w:r>
    </w:p>
    <w:p w14:paraId="6DBEAF5C" w14:textId="77777777" w:rsidR="00736135" w:rsidRPr="003F0A5A" w:rsidRDefault="00736135" w:rsidP="00736135">
      <w:pPr>
        <w:shd w:val="clear" w:color="auto" w:fill="FFFFFF"/>
        <w:jc w:val="center"/>
        <w:rPr>
          <w:rFonts w:ascii="Times New Roman" w:eastAsia="Times New Roman" w:hAnsi="Times New Roman" w:cs="Times New Roman"/>
          <w:sz w:val="24"/>
          <w:szCs w:val="24"/>
        </w:rPr>
      </w:pPr>
    </w:p>
    <w:p w14:paraId="23152F21" w14:textId="6C78D595" w:rsidR="0003733C" w:rsidRPr="003F0A5A" w:rsidRDefault="00296CAE" w:rsidP="00227121">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 xml:space="preserve">On </w:t>
      </w:r>
      <w:r w:rsidR="00CA79B3" w:rsidRPr="003F0A5A">
        <w:rPr>
          <w:rFonts w:ascii="Times New Roman" w:eastAsia="Times New Roman" w:hAnsi="Times New Roman" w:cs="Times New Roman"/>
          <w:sz w:val="24"/>
          <w:szCs w:val="24"/>
        </w:rPr>
        <w:t>February 7, 2022</w:t>
      </w:r>
      <w:r w:rsidRPr="003F0A5A">
        <w:rPr>
          <w:rFonts w:ascii="Times New Roman" w:eastAsia="Times New Roman" w:hAnsi="Times New Roman" w:cs="Times New Roman"/>
          <w:sz w:val="24"/>
          <w:szCs w:val="24"/>
        </w:rPr>
        <w:t xml:space="preserve">, Parent filed a </w:t>
      </w:r>
      <w:r w:rsidRPr="003F0A5A">
        <w:rPr>
          <w:rFonts w:ascii="Times New Roman" w:eastAsia="Times New Roman" w:hAnsi="Times New Roman" w:cs="Times New Roman"/>
          <w:i/>
          <w:iCs/>
          <w:sz w:val="24"/>
          <w:szCs w:val="24"/>
        </w:rPr>
        <w:t xml:space="preserve">Request for Hearing </w:t>
      </w:r>
      <w:r w:rsidRPr="003F0A5A">
        <w:rPr>
          <w:rFonts w:ascii="Times New Roman" w:eastAsia="Times New Roman" w:hAnsi="Times New Roman" w:cs="Times New Roman"/>
          <w:sz w:val="24"/>
          <w:szCs w:val="24"/>
        </w:rPr>
        <w:t xml:space="preserve">against Malden, asserting that </w:t>
      </w:r>
      <w:r w:rsidR="00CA79B3" w:rsidRPr="003F0A5A">
        <w:rPr>
          <w:rFonts w:ascii="Times New Roman" w:eastAsia="Times New Roman" w:hAnsi="Times New Roman" w:cs="Times New Roman"/>
          <w:sz w:val="24"/>
          <w:szCs w:val="24"/>
        </w:rPr>
        <w:t xml:space="preserve">Malden failed to properly address bullying allegations and failed to provide a free, appropriate, public education (FAPE) to Student.  </w:t>
      </w:r>
      <w:r w:rsidR="001C0727" w:rsidRPr="003F0A5A">
        <w:rPr>
          <w:rFonts w:ascii="Times New Roman" w:eastAsia="Times New Roman" w:hAnsi="Times New Roman" w:cs="Times New Roman"/>
          <w:sz w:val="24"/>
          <w:szCs w:val="24"/>
        </w:rPr>
        <w:t xml:space="preserve">The </w:t>
      </w:r>
      <w:r w:rsidR="001C0727" w:rsidRPr="003F0A5A">
        <w:rPr>
          <w:rFonts w:ascii="Times New Roman" w:eastAsia="Times New Roman" w:hAnsi="Times New Roman" w:cs="Times New Roman"/>
          <w:i/>
          <w:iCs/>
          <w:sz w:val="24"/>
          <w:szCs w:val="24"/>
        </w:rPr>
        <w:t>Hearing Request</w:t>
      </w:r>
      <w:r w:rsidR="001C0727" w:rsidRPr="003F0A5A">
        <w:rPr>
          <w:rFonts w:ascii="Times New Roman" w:eastAsia="Times New Roman" w:hAnsi="Times New Roman" w:cs="Times New Roman"/>
          <w:sz w:val="24"/>
          <w:szCs w:val="24"/>
        </w:rPr>
        <w:t xml:space="preserve"> </w:t>
      </w:r>
      <w:r w:rsidR="001B7EEB">
        <w:rPr>
          <w:rFonts w:ascii="Times New Roman" w:eastAsia="Times New Roman" w:hAnsi="Times New Roman" w:cs="Times New Roman"/>
          <w:sz w:val="24"/>
          <w:szCs w:val="24"/>
        </w:rPr>
        <w:t>sought</w:t>
      </w:r>
      <w:r w:rsidR="007D34D0">
        <w:rPr>
          <w:rFonts w:ascii="Times New Roman" w:eastAsia="Times New Roman" w:hAnsi="Times New Roman" w:cs="Times New Roman"/>
          <w:sz w:val="24"/>
          <w:szCs w:val="24"/>
        </w:rPr>
        <w:t>, as its only requested relief,</w:t>
      </w:r>
      <w:r w:rsidR="001B7EEB">
        <w:rPr>
          <w:rFonts w:ascii="Times New Roman" w:eastAsia="Times New Roman" w:hAnsi="Times New Roman" w:cs="Times New Roman"/>
          <w:sz w:val="24"/>
          <w:szCs w:val="24"/>
        </w:rPr>
        <w:t xml:space="preserve"> </w:t>
      </w:r>
      <w:r w:rsidR="001C0727" w:rsidRPr="003F0A5A">
        <w:rPr>
          <w:rFonts w:ascii="Times New Roman" w:eastAsia="Times New Roman" w:hAnsi="Times New Roman" w:cs="Times New Roman"/>
          <w:sz w:val="24"/>
          <w:szCs w:val="24"/>
        </w:rPr>
        <w:t>“resolution in penal damages” for the “lack of care in addressing these issues not only for the bullying of her child but for the neglect of his educational issues</w:t>
      </w:r>
      <w:r w:rsidR="004C3041">
        <w:rPr>
          <w:rFonts w:ascii="Times New Roman" w:eastAsia="Times New Roman" w:hAnsi="Times New Roman" w:cs="Times New Roman"/>
          <w:sz w:val="24"/>
          <w:szCs w:val="24"/>
        </w:rPr>
        <w:t xml:space="preserve"> …</w:t>
      </w:r>
      <w:r w:rsidR="001C0727" w:rsidRPr="003F0A5A">
        <w:rPr>
          <w:rFonts w:ascii="Times New Roman" w:eastAsia="Times New Roman" w:hAnsi="Times New Roman" w:cs="Times New Roman"/>
          <w:sz w:val="24"/>
          <w:szCs w:val="24"/>
        </w:rPr>
        <w:t xml:space="preserve">.”  </w:t>
      </w:r>
      <w:r w:rsidR="00AB51BF">
        <w:rPr>
          <w:rFonts w:ascii="Times New Roman" w:eastAsia="Times New Roman" w:hAnsi="Times New Roman" w:cs="Times New Roman"/>
          <w:sz w:val="24"/>
          <w:szCs w:val="24"/>
        </w:rPr>
        <w:t xml:space="preserve">Although the </w:t>
      </w:r>
      <w:r w:rsidR="00AB51BF" w:rsidRPr="00AB51BF">
        <w:rPr>
          <w:rFonts w:ascii="Times New Roman" w:eastAsia="Times New Roman" w:hAnsi="Times New Roman" w:cs="Times New Roman"/>
          <w:i/>
          <w:iCs/>
          <w:sz w:val="24"/>
          <w:szCs w:val="24"/>
        </w:rPr>
        <w:t>Hearing Request</w:t>
      </w:r>
      <w:r w:rsidR="00AB51BF">
        <w:rPr>
          <w:rFonts w:ascii="Times New Roman" w:eastAsia="Times New Roman" w:hAnsi="Times New Roman" w:cs="Times New Roman"/>
          <w:sz w:val="24"/>
          <w:szCs w:val="24"/>
        </w:rPr>
        <w:t xml:space="preserve"> asserts as to Student that </w:t>
      </w:r>
      <w:r w:rsidR="001C0727" w:rsidRPr="003F0A5A">
        <w:rPr>
          <w:rFonts w:ascii="Times New Roman" w:eastAsia="Times New Roman" w:hAnsi="Times New Roman" w:cs="Times New Roman"/>
          <w:sz w:val="24"/>
          <w:szCs w:val="24"/>
        </w:rPr>
        <w:t xml:space="preserve">“during the period of time </w:t>
      </w:r>
      <w:r w:rsidR="001F2E10">
        <w:rPr>
          <w:rFonts w:ascii="Times New Roman" w:eastAsia="Times New Roman" w:hAnsi="Times New Roman" w:cs="Times New Roman"/>
          <w:sz w:val="24"/>
          <w:szCs w:val="24"/>
        </w:rPr>
        <w:t>[his]</w:t>
      </w:r>
      <w:r w:rsidR="001C0727" w:rsidRPr="003F0A5A">
        <w:rPr>
          <w:rFonts w:ascii="Times New Roman" w:eastAsia="Times New Roman" w:hAnsi="Times New Roman" w:cs="Times New Roman"/>
          <w:sz w:val="24"/>
          <w:szCs w:val="24"/>
        </w:rPr>
        <w:t xml:space="preserve"> address was [in] </w:t>
      </w:r>
      <w:r w:rsidR="001F2E10">
        <w:rPr>
          <w:rFonts w:ascii="Times New Roman" w:eastAsia="Times New Roman" w:hAnsi="Times New Roman" w:cs="Times New Roman"/>
          <w:sz w:val="24"/>
          <w:szCs w:val="24"/>
        </w:rPr>
        <w:t xml:space="preserve">… </w:t>
      </w:r>
      <w:r w:rsidR="001C0727" w:rsidRPr="003F0A5A">
        <w:rPr>
          <w:rFonts w:ascii="Times New Roman" w:eastAsia="Times New Roman" w:hAnsi="Times New Roman" w:cs="Times New Roman"/>
          <w:sz w:val="24"/>
          <w:szCs w:val="24"/>
        </w:rPr>
        <w:t>Malden</w:t>
      </w:r>
      <w:r w:rsidR="001F2E10">
        <w:rPr>
          <w:rFonts w:ascii="Times New Roman" w:eastAsia="Times New Roman" w:hAnsi="Times New Roman" w:cs="Times New Roman"/>
          <w:sz w:val="24"/>
          <w:szCs w:val="24"/>
        </w:rPr>
        <w:t xml:space="preserve"> MA</w:t>
      </w:r>
      <w:r w:rsidR="001C0727" w:rsidRPr="003F0A5A">
        <w:rPr>
          <w:rFonts w:ascii="Times New Roman" w:eastAsia="Times New Roman" w:hAnsi="Times New Roman" w:cs="Times New Roman"/>
          <w:sz w:val="24"/>
          <w:szCs w:val="24"/>
        </w:rPr>
        <w:t xml:space="preserve">”, Parent’s </w:t>
      </w:r>
      <w:r w:rsidR="009A6AE1">
        <w:rPr>
          <w:rFonts w:ascii="Times New Roman" w:eastAsia="Times New Roman" w:hAnsi="Times New Roman" w:cs="Times New Roman"/>
          <w:sz w:val="24"/>
          <w:szCs w:val="24"/>
        </w:rPr>
        <w:t xml:space="preserve">listed </w:t>
      </w:r>
      <w:r w:rsidR="001C0727" w:rsidRPr="003F0A5A">
        <w:rPr>
          <w:rFonts w:ascii="Times New Roman" w:eastAsia="Times New Roman" w:hAnsi="Times New Roman" w:cs="Times New Roman"/>
          <w:sz w:val="24"/>
          <w:szCs w:val="24"/>
        </w:rPr>
        <w:t xml:space="preserve">address is </w:t>
      </w:r>
      <w:r w:rsidR="00860AF3" w:rsidRPr="003F0A5A">
        <w:rPr>
          <w:rFonts w:ascii="Times New Roman" w:eastAsia="Times New Roman" w:hAnsi="Times New Roman" w:cs="Times New Roman"/>
          <w:sz w:val="24"/>
          <w:szCs w:val="24"/>
        </w:rPr>
        <w:t xml:space="preserve">in </w:t>
      </w:r>
      <w:r w:rsidR="001C0727" w:rsidRPr="003F0A5A">
        <w:rPr>
          <w:rFonts w:ascii="Times New Roman" w:eastAsia="Times New Roman" w:hAnsi="Times New Roman" w:cs="Times New Roman"/>
          <w:sz w:val="24"/>
          <w:szCs w:val="24"/>
        </w:rPr>
        <w:t>Peabody, MA.</w:t>
      </w:r>
      <w:r w:rsidR="00231489" w:rsidRPr="003F0A5A">
        <w:rPr>
          <w:rFonts w:ascii="Times New Roman" w:eastAsia="Times New Roman" w:hAnsi="Times New Roman" w:cs="Times New Roman"/>
          <w:sz w:val="24"/>
          <w:szCs w:val="24"/>
        </w:rPr>
        <w:t xml:space="preserve">  </w:t>
      </w:r>
      <w:r w:rsidR="001C0727" w:rsidRPr="003F0A5A">
        <w:rPr>
          <w:rFonts w:ascii="Times New Roman" w:eastAsia="Times New Roman" w:hAnsi="Times New Roman" w:cs="Times New Roman"/>
          <w:sz w:val="24"/>
          <w:szCs w:val="24"/>
        </w:rPr>
        <w:t xml:space="preserve">On February 22, 2022, Malden filed its </w:t>
      </w:r>
      <w:r w:rsidR="00767F83" w:rsidRPr="003F0A5A">
        <w:rPr>
          <w:rFonts w:ascii="Times New Roman" w:eastAsia="Times New Roman" w:hAnsi="Times New Roman" w:cs="Times New Roman"/>
          <w:i/>
          <w:iCs/>
          <w:sz w:val="24"/>
          <w:szCs w:val="24"/>
        </w:rPr>
        <w:t>Response/Motion</w:t>
      </w:r>
      <w:r w:rsidR="001C0727" w:rsidRPr="003F0A5A">
        <w:rPr>
          <w:rFonts w:ascii="Times New Roman" w:eastAsia="Times New Roman" w:hAnsi="Times New Roman" w:cs="Times New Roman"/>
          <w:sz w:val="24"/>
          <w:szCs w:val="24"/>
        </w:rPr>
        <w:t xml:space="preserve">, discussed above.  </w:t>
      </w:r>
    </w:p>
    <w:p w14:paraId="4712E79A" w14:textId="77777777" w:rsidR="00227121" w:rsidRPr="003F0A5A" w:rsidRDefault="00227121" w:rsidP="00227121">
      <w:pPr>
        <w:shd w:val="clear" w:color="auto" w:fill="FFFFFF"/>
        <w:rPr>
          <w:rFonts w:ascii="Times New Roman" w:eastAsia="Times New Roman" w:hAnsi="Times New Roman" w:cs="Times New Roman"/>
          <w:sz w:val="24"/>
          <w:szCs w:val="24"/>
        </w:rPr>
      </w:pPr>
    </w:p>
    <w:p w14:paraId="51546824" w14:textId="2184898C" w:rsidR="0003733C" w:rsidRDefault="00231489" w:rsidP="00227121">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 xml:space="preserve">On </w:t>
      </w:r>
      <w:r w:rsidR="009161DE" w:rsidRPr="003F0A5A">
        <w:rPr>
          <w:rFonts w:ascii="Times New Roman" w:eastAsia="Times New Roman" w:hAnsi="Times New Roman" w:cs="Times New Roman"/>
          <w:sz w:val="24"/>
          <w:szCs w:val="24"/>
        </w:rPr>
        <w:t>February 28, 2022 the parties participated in a Conference Call</w:t>
      </w:r>
      <w:r w:rsidR="00503130" w:rsidRPr="003F0A5A">
        <w:rPr>
          <w:rFonts w:ascii="Times New Roman" w:eastAsia="Times New Roman" w:hAnsi="Times New Roman" w:cs="Times New Roman"/>
          <w:sz w:val="24"/>
          <w:szCs w:val="24"/>
        </w:rPr>
        <w:t xml:space="preserve"> </w:t>
      </w:r>
      <w:r w:rsidR="00454A54" w:rsidRPr="003F0A5A">
        <w:rPr>
          <w:rFonts w:ascii="Times New Roman" w:eastAsia="Times New Roman" w:hAnsi="Times New Roman" w:cs="Times New Roman"/>
          <w:sz w:val="24"/>
          <w:szCs w:val="24"/>
        </w:rPr>
        <w:t>wherein they</w:t>
      </w:r>
      <w:r w:rsidR="00503130" w:rsidRPr="003F0A5A">
        <w:rPr>
          <w:rFonts w:ascii="Times New Roman" w:eastAsia="Times New Roman" w:hAnsi="Times New Roman" w:cs="Times New Roman"/>
          <w:sz w:val="24"/>
          <w:szCs w:val="24"/>
        </w:rPr>
        <w:t xml:space="preserve"> advised</w:t>
      </w:r>
      <w:r w:rsidR="00165F7A">
        <w:rPr>
          <w:rFonts w:ascii="Times New Roman" w:eastAsia="Times New Roman" w:hAnsi="Times New Roman" w:cs="Times New Roman"/>
          <w:sz w:val="24"/>
          <w:szCs w:val="24"/>
        </w:rPr>
        <w:t xml:space="preserve"> that </w:t>
      </w:r>
      <w:r w:rsidR="00503130" w:rsidRPr="003F0A5A">
        <w:rPr>
          <w:rFonts w:ascii="Times New Roman" w:eastAsia="Times New Roman" w:hAnsi="Times New Roman" w:cs="Times New Roman"/>
          <w:sz w:val="24"/>
          <w:szCs w:val="24"/>
        </w:rPr>
        <w:t xml:space="preserve">they jointly agreed Parent would file any </w:t>
      </w:r>
      <w:r w:rsidR="00767F83" w:rsidRPr="003F0A5A">
        <w:rPr>
          <w:rFonts w:ascii="Times New Roman" w:eastAsia="Times New Roman" w:hAnsi="Times New Roman" w:cs="Times New Roman"/>
          <w:sz w:val="24"/>
          <w:szCs w:val="24"/>
        </w:rPr>
        <w:t>response</w:t>
      </w:r>
      <w:r w:rsidR="00503130" w:rsidRPr="003F0A5A">
        <w:rPr>
          <w:rFonts w:ascii="Times New Roman" w:eastAsia="Times New Roman" w:hAnsi="Times New Roman" w:cs="Times New Roman"/>
          <w:sz w:val="24"/>
          <w:szCs w:val="24"/>
        </w:rPr>
        <w:t xml:space="preserve"> she may have to the </w:t>
      </w:r>
      <w:r w:rsidR="00767F83" w:rsidRPr="003F0A5A">
        <w:rPr>
          <w:rFonts w:ascii="Times New Roman" w:eastAsia="Times New Roman" w:hAnsi="Times New Roman" w:cs="Times New Roman"/>
          <w:i/>
          <w:iCs/>
          <w:sz w:val="24"/>
          <w:szCs w:val="24"/>
        </w:rPr>
        <w:t>Response/</w:t>
      </w:r>
      <w:r w:rsidR="00503130" w:rsidRPr="003F0A5A">
        <w:rPr>
          <w:rFonts w:ascii="Times New Roman" w:eastAsia="Times New Roman" w:hAnsi="Times New Roman" w:cs="Times New Roman"/>
          <w:i/>
          <w:iCs/>
          <w:sz w:val="24"/>
          <w:szCs w:val="24"/>
        </w:rPr>
        <w:t xml:space="preserve">Motion </w:t>
      </w:r>
      <w:r w:rsidR="00503130" w:rsidRPr="003F0A5A">
        <w:rPr>
          <w:rFonts w:ascii="Times New Roman" w:eastAsia="Times New Roman" w:hAnsi="Times New Roman" w:cs="Times New Roman"/>
          <w:sz w:val="24"/>
          <w:szCs w:val="24"/>
        </w:rPr>
        <w:t>by March 7, 2022.  This joint agreement was thereafter incorporated into my</w:t>
      </w:r>
      <w:r w:rsidR="00DF7713">
        <w:rPr>
          <w:rFonts w:ascii="Times New Roman" w:eastAsia="Times New Roman" w:hAnsi="Times New Roman" w:cs="Times New Roman"/>
          <w:sz w:val="24"/>
          <w:szCs w:val="24"/>
        </w:rPr>
        <w:t xml:space="preserve"> March 1, 2022,</w:t>
      </w:r>
      <w:r w:rsidR="00503130" w:rsidRPr="003F0A5A">
        <w:rPr>
          <w:rFonts w:ascii="Times New Roman" w:eastAsia="Times New Roman" w:hAnsi="Times New Roman" w:cs="Times New Roman"/>
          <w:sz w:val="24"/>
          <w:szCs w:val="24"/>
        </w:rPr>
        <w:t xml:space="preserve"> </w:t>
      </w:r>
      <w:r w:rsidR="00503130" w:rsidRPr="003F0A5A">
        <w:rPr>
          <w:rFonts w:ascii="Times New Roman" w:eastAsia="Times New Roman" w:hAnsi="Times New Roman" w:cs="Times New Roman"/>
          <w:i/>
          <w:iCs/>
          <w:sz w:val="24"/>
          <w:szCs w:val="24"/>
        </w:rPr>
        <w:t xml:space="preserve">Ruling </w:t>
      </w:r>
      <w:r w:rsidR="00C74480" w:rsidRPr="003F0A5A">
        <w:rPr>
          <w:rFonts w:ascii="Times New Roman" w:eastAsia="Times New Roman" w:hAnsi="Times New Roman" w:cs="Times New Roman"/>
          <w:i/>
          <w:iCs/>
          <w:sz w:val="24"/>
          <w:szCs w:val="24"/>
        </w:rPr>
        <w:t>on Joint Request to Postpone Hearing and to Establish Schedule to Respond to Motion to Dismiss</w:t>
      </w:r>
      <w:r w:rsidR="00C74480" w:rsidRPr="003F0A5A">
        <w:rPr>
          <w:rFonts w:ascii="Times New Roman" w:eastAsia="Times New Roman" w:hAnsi="Times New Roman" w:cs="Times New Roman"/>
          <w:sz w:val="24"/>
          <w:szCs w:val="24"/>
        </w:rPr>
        <w:t>.  To date Parent has not filed any further documents with the BSEA</w:t>
      </w:r>
      <w:r w:rsidR="00C74480" w:rsidRPr="003F0A5A">
        <w:rPr>
          <w:rStyle w:val="FootnoteReference"/>
          <w:rFonts w:ascii="Times New Roman" w:eastAsia="Times New Roman" w:hAnsi="Times New Roman" w:cs="Times New Roman"/>
          <w:sz w:val="24"/>
          <w:szCs w:val="24"/>
        </w:rPr>
        <w:footnoteReference w:id="1"/>
      </w:r>
      <w:r w:rsidR="007D5ADE" w:rsidRPr="003F0A5A">
        <w:rPr>
          <w:rFonts w:ascii="Times New Roman" w:eastAsia="Times New Roman" w:hAnsi="Times New Roman" w:cs="Times New Roman"/>
          <w:sz w:val="24"/>
          <w:szCs w:val="24"/>
        </w:rPr>
        <w:t>.</w:t>
      </w:r>
      <w:r w:rsidR="0003733C" w:rsidRPr="003F0A5A">
        <w:rPr>
          <w:rFonts w:ascii="Times New Roman" w:eastAsia="Times New Roman" w:hAnsi="Times New Roman" w:cs="Times New Roman"/>
          <w:sz w:val="24"/>
          <w:szCs w:val="24"/>
        </w:rPr>
        <w:t xml:space="preserve"> </w:t>
      </w:r>
      <w:r w:rsidR="00DF7713">
        <w:rPr>
          <w:rFonts w:ascii="Times New Roman" w:eastAsia="Times New Roman" w:hAnsi="Times New Roman" w:cs="Times New Roman"/>
          <w:sz w:val="24"/>
          <w:szCs w:val="24"/>
        </w:rPr>
        <w:t xml:space="preserve"> </w:t>
      </w:r>
      <w:r w:rsidR="0003733C" w:rsidRPr="003F0A5A">
        <w:rPr>
          <w:rFonts w:ascii="Times New Roman" w:eastAsia="Times New Roman" w:hAnsi="Times New Roman" w:cs="Times New Roman"/>
          <w:sz w:val="24"/>
          <w:szCs w:val="24"/>
        </w:rPr>
        <w:t xml:space="preserve">Neither party requested a Hearing on the </w:t>
      </w:r>
      <w:r w:rsidR="00767F83" w:rsidRPr="003F0A5A">
        <w:rPr>
          <w:rFonts w:ascii="Times New Roman" w:eastAsia="Times New Roman" w:hAnsi="Times New Roman" w:cs="Times New Roman"/>
          <w:i/>
          <w:iCs/>
          <w:sz w:val="24"/>
          <w:szCs w:val="24"/>
        </w:rPr>
        <w:t>Response/</w:t>
      </w:r>
      <w:r w:rsidR="0003733C" w:rsidRPr="003F0A5A">
        <w:rPr>
          <w:rFonts w:ascii="Times New Roman" w:eastAsia="Times New Roman" w:hAnsi="Times New Roman" w:cs="Times New Roman"/>
          <w:i/>
          <w:iCs/>
          <w:sz w:val="24"/>
          <w:szCs w:val="24"/>
        </w:rPr>
        <w:t>Motion</w:t>
      </w:r>
      <w:r w:rsidR="0003733C" w:rsidRPr="003F0A5A">
        <w:rPr>
          <w:rFonts w:ascii="Times New Roman" w:eastAsia="Times New Roman" w:hAnsi="Times New Roman" w:cs="Times New Roman"/>
          <w:sz w:val="24"/>
          <w:szCs w:val="24"/>
        </w:rPr>
        <w:t xml:space="preserve">.  As neither testimony nor oral argument would advance my understanding of the issues involved, I issue this Ruling without a Hearing, pursuant to Rule VII(D) of the </w:t>
      </w:r>
      <w:r w:rsidR="0003733C" w:rsidRPr="003F0A5A">
        <w:rPr>
          <w:rFonts w:ascii="Times New Roman" w:eastAsia="Times New Roman" w:hAnsi="Times New Roman" w:cs="Times New Roman"/>
          <w:i/>
          <w:iCs/>
          <w:sz w:val="24"/>
          <w:szCs w:val="24"/>
        </w:rPr>
        <w:t>Hearing Rules for Special Education Appeals</w:t>
      </w:r>
      <w:r w:rsidR="0003733C" w:rsidRPr="003F0A5A">
        <w:rPr>
          <w:rFonts w:ascii="Times New Roman" w:eastAsia="Times New Roman" w:hAnsi="Times New Roman" w:cs="Times New Roman"/>
          <w:sz w:val="24"/>
          <w:szCs w:val="24"/>
        </w:rPr>
        <w:t>.</w:t>
      </w:r>
    </w:p>
    <w:p w14:paraId="1BE9D849" w14:textId="77777777" w:rsidR="001B7EEB" w:rsidRPr="003F0A5A" w:rsidRDefault="001B7EEB" w:rsidP="00227121">
      <w:pPr>
        <w:shd w:val="clear" w:color="auto" w:fill="FFFFFF"/>
        <w:rPr>
          <w:rFonts w:ascii="Times New Roman" w:eastAsia="Times New Roman" w:hAnsi="Times New Roman" w:cs="Times New Roman"/>
          <w:sz w:val="24"/>
          <w:szCs w:val="24"/>
        </w:rPr>
      </w:pPr>
    </w:p>
    <w:p w14:paraId="0DFD859A" w14:textId="17633D97" w:rsidR="004955A1" w:rsidRPr="003F0A5A" w:rsidRDefault="00296CAE" w:rsidP="007A4B62">
      <w:pPr>
        <w:shd w:val="clear" w:color="auto" w:fill="FFFFFF"/>
        <w:spacing w:after="375"/>
        <w:jc w:val="center"/>
        <w:rPr>
          <w:rFonts w:ascii="Times New Roman" w:eastAsia="Times New Roman" w:hAnsi="Times New Roman" w:cs="Times New Roman"/>
          <w:sz w:val="24"/>
          <w:szCs w:val="24"/>
        </w:rPr>
      </w:pPr>
      <w:r w:rsidRPr="003F0A5A">
        <w:rPr>
          <w:rFonts w:ascii="Times New Roman" w:eastAsia="Times New Roman" w:hAnsi="Times New Roman" w:cs="Times New Roman"/>
          <w:b/>
          <w:bCs/>
          <w:sz w:val="24"/>
          <w:szCs w:val="24"/>
        </w:rPr>
        <w:lastRenderedPageBreak/>
        <w:t>RELEVANT FACTS</w:t>
      </w:r>
    </w:p>
    <w:p w14:paraId="60F1F647" w14:textId="50491048" w:rsidR="00D17523" w:rsidRPr="003F0A5A" w:rsidRDefault="002C5D1D" w:rsidP="0022712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In her</w:t>
      </w:r>
      <w:r w:rsidR="00567BE9" w:rsidRPr="003F0A5A">
        <w:rPr>
          <w:rFonts w:ascii="Times New Roman" w:eastAsia="Times New Roman" w:hAnsi="Times New Roman" w:cs="Times New Roman"/>
          <w:sz w:val="24"/>
          <w:szCs w:val="24"/>
        </w:rPr>
        <w:t xml:space="preserve"> </w:t>
      </w:r>
      <w:r w:rsidR="00567BE9" w:rsidRPr="003F0A5A">
        <w:rPr>
          <w:rFonts w:ascii="Times New Roman" w:eastAsia="Times New Roman" w:hAnsi="Times New Roman" w:cs="Times New Roman"/>
          <w:i/>
          <w:iCs/>
          <w:sz w:val="24"/>
          <w:szCs w:val="24"/>
        </w:rPr>
        <w:t>Hearing Request</w:t>
      </w:r>
      <w:r w:rsidR="00567BE9" w:rsidRPr="003F0A5A">
        <w:rPr>
          <w:rFonts w:ascii="Times New Roman" w:eastAsia="Times New Roman" w:hAnsi="Times New Roman" w:cs="Times New Roman"/>
          <w:sz w:val="24"/>
          <w:szCs w:val="24"/>
        </w:rPr>
        <w:t xml:space="preserve">, Parent alleges she sent </w:t>
      </w:r>
      <w:r w:rsidR="00D17523" w:rsidRPr="003F0A5A">
        <w:rPr>
          <w:rFonts w:ascii="Times New Roman" w:eastAsia="Times New Roman" w:hAnsi="Times New Roman" w:cs="Times New Roman"/>
          <w:sz w:val="24"/>
          <w:szCs w:val="24"/>
        </w:rPr>
        <w:t xml:space="preserve">emails to the Malden Police Department, </w:t>
      </w:r>
      <w:r w:rsidR="00C00887" w:rsidRPr="003F0A5A">
        <w:rPr>
          <w:rFonts w:ascii="Times New Roman" w:eastAsia="Times New Roman" w:hAnsi="Times New Roman" w:cs="Times New Roman"/>
          <w:sz w:val="24"/>
          <w:szCs w:val="24"/>
        </w:rPr>
        <w:t xml:space="preserve">the </w:t>
      </w:r>
      <w:r w:rsidR="00D17523" w:rsidRPr="003F0A5A">
        <w:rPr>
          <w:rFonts w:ascii="Times New Roman" w:eastAsia="Times New Roman" w:hAnsi="Times New Roman" w:cs="Times New Roman"/>
          <w:sz w:val="24"/>
          <w:szCs w:val="24"/>
        </w:rPr>
        <w:t>(then) Malden Mayor and the District between January 5, 2015</w:t>
      </w:r>
      <w:r w:rsidR="00567BE9" w:rsidRPr="003F0A5A">
        <w:rPr>
          <w:rFonts w:ascii="Times New Roman" w:eastAsia="Times New Roman" w:hAnsi="Times New Roman" w:cs="Times New Roman"/>
          <w:sz w:val="24"/>
          <w:szCs w:val="24"/>
        </w:rPr>
        <w:t>,</w:t>
      </w:r>
      <w:r w:rsidR="00D17523" w:rsidRPr="003F0A5A">
        <w:rPr>
          <w:rFonts w:ascii="Times New Roman" w:eastAsia="Times New Roman" w:hAnsi="Times New Roman" w:cs="Times New Roman"/>
          <w:sz w:val="24"/>
          <w:szCs w:val="24"/>
        </w:rPr>
        <w:t xml:space="preserve"> and September 23, 2015, relating to complaints of bullying and failure of the District to provide Student with agreed-upon educational supports.  </w:t>
      </w:r>
      <w:r w:rsidR="00567BE9" w:rsidRPr="003F0A5A">
        <w:rPr>
          <w:rFonts w:ascii="Times New Roman" w:eastAsia="Times New Roman" w:hAnsi="Times New Roman" w:cs="Times New Roman"/>
          <w:sz w:val="24"/>
          <w:szCs w:val="24"/>
        </w:rPr>
        <w:t xml:space="preserve">Parent also claims that </w:t>
      </w:r>
      <w:r w:rsidR="00D17523" w:rsidRPr="003F0A5A">
        <w:rPr>
          <w:rFonts w:ascii="Times New Roman" w:eastAsia="Times New Roman" w:hAnsi="Times New Roman" w:cs="Times New Roman"/>
          <w:sz w:val="24"/>
          <w:szCs w:val="24"/>
        </w:rPr>
        <w:t>various evaluations of Student conducted in a) November 2014 (by the District);  b) September 14-18, 2015 (by an outside evaluator from Boston Children’s Hospital Outpatient (sic)); c) September 23, 2015, October 13, 2015 and November 3, 2015 (by a different named outside evaluator); d) March 17, 2016 and July 14, 2016 (</w:t>
      </w:r>
      <w:r w:rsidR="00641D8D">
        <w:rPr>
          <w:rFonts w:ascii="Times New Roman" w:eastAsia="Times New Roman" w:hAnsi="Times New Roman" w:cs="Times New Roman"/>
          <w:sz w:val="24"/>
          <w:szCs w:val="24"/>
        </w:rPr>
        <w:t xml:space="preserve">by an outside </w:t>
      </w:r>
      <w:r w:rsidR="00D17523" w:rsidRPr="003F0A5A">
        <w:rPr>
          <w:rFonts w:ascii="Times New Roman" w:eastAsia="Times New Roman" w:hAnsi="Times New Roman" w:cs="Times New Roman"/>
          <w:sz w:val="24"/>
          <w:szCs w:val="24"/>
        </w:rPr>
        <w:t xml:space="preserve">speech and language evaluator at “Boston Children’s at Waltham”); and </w:t>
      </w:r>
      <w:r w:rsidR="002331E7">
        <w:rPr>
          <w:rFonts w:ascii="Times New Roman" w:eastAsia="Times New Roman" w:hAnsi="Times New Roman" w:cs="Times New Roman"/>
          <w:sz w:val="24"/>
          <w:szCs w:val="24"/>
        </w:rPr>
        <w:t xml:space="preserve">e) </w:t>
      </w:r>
      <w:r w:rsidR="00D17523" w:rsidRPr="003F0A5A">
        <w:rPr>
          <w:rFonts w:ascii="Times New Roman" w:eastAsia="Times New Roman" w:hAnsi="Times New Roman" w:cs="Times New Roman"/>
          <w:sz w:val="24"/>
          <w:szCs w:val="24"/>
        </w:rPr>
        <w:t>September 13, 2017 (by an outside unnamed private Neurologist in Peabody, MA)</w:t>
      </w:r>
      <w:r w:rsidR="00567BE9" w:rsidRPr="003F0A5A">
        <w:rPr>
          <w:rFonts w:ascii="Times New Roman" w:eastAsia="Times New Roman" w:hAnsi="Times New Roman" w:cs="Times New Roman"/>
          <w:sz w:val="24"/>
          <w:szCs w:val="24"/>
        </w:rPr>
        <w:t xml:space="preserve"> were </w:t>
      </w:r>
      <w:r w:rsidR="00D64BAB">
        <w:rPr>
          <w:rFonts w:ascii="Times New Roman" w:eastAsia="Times New Roman" w:hAnsi="Times New Roman" w:cs="Times New Roman"/>
          <w:sz w:val="24"/>
          <w:szCs w:val="24"/>
        </w:rPr>
        <w:t>improper</w:t>
      </w:r>
      <w:r w:rsidR="006B4344" w:rsidRPr="003F0A5A">
        <w:rPr>
          <w:rFonts w:ascii="Times New Roman" w:eastAsia="Times New Roman" w:hAnsi="Times New Roman" w:cs="Times New Roman"/>
          <w:sz w:val="24"/>
          <w:szCs w:val="24"/>
        </w:rPr>
        <w:t xml:space="preserve"> and/or </w:t>
      </w:r>
      <w:r w:rsidR="00D64BAB">
        <w:rPr>
          <w:rFonts w:ascii="Times New Roman" w:eastAsia="Times New Roman" w:hAnsi="Times New Roman" w:cs="Times New Roman"/>
          <w:sz w:val="24"/>
          <w:szCs w:val="24"/>
        </w:rPr>
        <w:t xml:space="preserve">not appropriately </w:t>
      </w:r>
      <w:r w:rsidR="006B4344" w:rsidRPr="003F0A5A">
        <w:rPr>
          <w:rFonts w:ascii="Times New Roman" w:eastAsia="Times New Roman" w:hAnsi="Times New Roman" w:cs="Times New Roman"/>
          <w:sz w:val="24"/>
          <w:szCs w:val="24"/>
        </w:rPr>
        <w:t>considered by the Team</w:t>
      </w:r>
      <w:r w:rsidR="00431F48">
        <w:rPr>
          <w:rFonts w:ascii="Times New Roman" w:eastAsia="Times New Roman" w:hAnsi="Times New Roman" w:cs="Times New Roman"/>
          <w:sz w:val="24"/>
          <w:szCs w:val="24"/>
        </w:rPr>
        <w:t>. As</w:t>
      </w:r>
      <w:r w:rsidR="003B2D5B" w:rsidRPr="003F0A5A">
        <w:rPr>
          <w:rFonts w:ascii="Times New Roman" w:eastAsia="Times New Roman" w:hAnsi="Times New Roman" w:cs="Times New Roman"/>
          <w:sz w:val="24"/>
          <w:szCs w:val="24"/>
        </w:rPr>
        <w:t xml:space="preserve"> a result</w:t>
      </w:r>
      <w:r w:rsidR="00431F48">
        <w:rPr>
          <w:rFonts w:ascii="Times New Roman" w:eastAsia="Times New Roman" w:hAnsi="Times New Roman" w:cs="Times New Roman"/>
          <w:sz w:val="24"/>
          <w:szCs w:val="24"/>
        </w:rPr>
        <w:t>, Parent asserts,</w:t>
      </w:r>
      <w:r w:rsidR="003B2D5B" w:rsidRPr="003F0A5A">
        <w:rPr>
          <w:rFonts w:ascii="Times New Roman" w:eastAsia="Times New Roman" w:hAnsi="Times New Roman" w:cs="Times New Roman"/>
          <w:sz w:val="24"/>
          <w:szCs w:val="24"/>
        </w:rPr>
        <w:t xml:space="preserve"> Student’s special education eligibility was delayed</w:t>
      </w:r>
      <w:r w:rsidR="00D17523" w:rsidRPr="003F0A5A">
        <w:rPr>
          <w:rFonts w:ascii="Times New Roman" w:eastAsia="Times New Roman" w:hAnsi="Times New Roman" w:cs="Times New Roman"/>
          <w:sz w:val="24"/>
          <w:szCs w:val="24"/>
        </w:rPr>
        <w:t>.  Finally,</w:t>
      </w:r>
      <w:r w:rsidR="00F972F2">
        <w:rPr>
          <w:rFonts w:ascii="Times New Roman" w:eastAsia="Times New Roman" w:hAnsi="Times New Roman" w:cs="Times New Roman"/>
          <w:sz w:val="24"/>
          <w:szCs w:val="24"/>
        </w:rPr>
        <w:t xml:space="preserve"> according to</w:t>
      </w:r>
      <w:r w:rsidR="00D17523" w:rsidRPr="003F0A5A">
        <w:rPr>
          <w:rFonts w:ascii="Times New Roman" w:eastAsia="Times New Roman" w:hAnsi="Times New Roman" w:cs="Times New Roman"/>
          <w:sz w:val="24"/>
          <w:szCs w:val="24"/>
        </w:rPr>
        <w:t xml:space="preserve"> </w:t>
      </w:r>
      <w:r w:rsidR="00F1481A" w:rsidRPr="003F0A5A">
        <w:rPr>
          <w:rFonts w:ascii="Times New Roman" w:eastAsia="Times New Roman" w:hAnsi="Times New Roman" w:cs="Times New Roman"/>
          <w:sz w:val="24"/>
          <w:szCs w:val="24"/>
        </w:rPr>
        <w:t xml:space="preserve">Parent </w:t>
      </w:r>
      <w:r w:rsidR="00D17523" w:rsidRPr="003F0A5A">
        <w:rPr>
          <w:rFonts w:ascii="Times New Roman" w:eastAsia="Times New Roman" w:hAnsi="Times New Roman" w:cs="Times New Roman"/>
          <w:sz w:val="24"/>
          <w:szCs w:val="24"/>
        </w:rPr>
        <w:t>“Currently, the City of Malden provides for the minor child to attend a school in Newton, Massachusetts but has informed the Plaintiff [Parent] that if she intended to moveout (sic) of the district, they would no longer provide services for the minor child”.</w:t>
      </w:r>
    </w:p>
    <w:p w14:paraId="14D16057" w14:textId="77777777" w:rsidR="00F1481A" w:rsidRPr="003F0A5A" w:rsidRDefault="00F1481A" w:rsidP="00227121">
      <w:pPr>
        <w:shd w:val="clear" w:color="auto" w:fill="FFFFFF"/>
        <w:rPr>
          <w:rFonts w:ascii="Times New Roman" w:eastAsia="Times New Roman" w:hAnsi="Times New Roman" w:cs="Times New Roman"/>
          <w:sz w:val="24"/>
          <w:szCs w:val="24"/>
        </w:rPr>
      </w:pPr>
    </w:p>
    <w:p w14:paraId="3D81EA8B" w14:textId="4CA7EBBE" w:rsidR="00D17523" w:rsidRPr="003F0A5A" w:rsidRDefault="00D17523" w:rsidP="00227121">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 xml:space="preserve">In its </w:t>
      </w:r>
      <w:r w:rsidR="00767F83" w:rsidRPr="003F0A5A">
        <w:rPr>
          <w:rFonts w:ascii="Times New Roman" w:eastAsia="Times New Roman" w:hAnsi="Times New Roman" w:cs="Times New Roman"/>
          <w:i/>
          <w:iCs/>
          <w:sz w:val="24"/>
          <w:szCs w:val="24"/>
        </w:rPr>
        <w:t>Response/</w:t>
      </w:r>
      <w:r w:rsidRPr="003F0A5A">
        <w:rPr>
          <w:rFonts w:ascii="Times New Roman" w:eastAsia="Times New Roman" w:hAnsi="Times New Roman" w:cs="Times New Roman"/>
          <w:i/>
          <w:iCs/>
          <w:sz w:val="24"/>
          <w:szCs w:val="24"/>
        </w:rPr>
        <w:t>Motion</w:t>
      </w:r>
      <w:r w:rsidRPr="003F0A5A">
        <w:rPr>
          <w:rFonts w:ascii="Times New Roman" w:eastAsia="Times New Roman" w:hAnsi="Times New Roman" w:cs="Times New Roman"/>
          <w:sz w:val="24"/>
          <w:szCs w:val="24"/>
        </w:rPr>
        <w:t>, Malden noted that Student withdrew from Malden on November 1, 2018, while attending the Learning Prep School pursuant to an IEP proposed by Malden.  Student thereafter enrolled in the Peabody Public School District (Peabody).  Pursuant to M.G.L c. 71 §5, commonly referred to as the “Move-In Law”</w:t>
      </w:r>
      <w:r w:rsidR="00452B24">
        <w:rPr>
          <w:rStyle w:val="FootnoteReference"/>
          <w:rFonts w:ascii="Times New Roman" w:eastAsia="Times New Roman" w:hAnsi="Times New Roman" w:cs="Times New Roman"/>
          <w:sz w:val="24"/>
          <w:szCs w:val="24"/>
        </w:rPr>
        <w:footnoteReference w:id="2"/>
      </w:r>
      <w:r w:rsidRPr="003F0A5A">
        <w:rPr>
          <w:rFonts w:ascii="Times New Roman" w:eastAsia="Times New Roman" w:hAnsi="Times New Roman" w:cs="Times New Roman"/>
          <w:sz w:val="24"/>
          <w:szCs w:val="24"/>
        </w:rPr>
        <w:t xml:space="preserve">, Malden asserts that Peabody became both programmatically and fiscally responsible for Student’s special education </w:t>
      </w:r>
      <w:r w:rsidR="00F8283F">
        <w:rPr>
          <w:rFonts w:ascii="Times New Roman" w:eastAsia="Times New Roman" w:hAnsi="Times New Roman" w:cs="Times New Roman"/>
          <w:sz w:val="24"/>
          <w:szCs w:val="24"/>
        </w:rPr>
        <w:t>no later than</w:t>
      </w:r>
      <w:r w:rsidRPr="003F0A5A">
        <w:rPr>
          <w:rFonts w:ascii="Times New Roman" w:eastAsia="Times New Roman" w:hAnsi="Times New Roman" w:cs="Times New Roman"/>
          <w:sz w:val="24"/>
          <w:szCs w:val="24"/>
        </w:rPr>
        <w:t xml:space="preserve"> July 1, 2019</w:t>
      </w:r>
      <w:r w:rsidR="007719BE" w:rsidRPr="003F0A5A">
        <w:rPr>
          <w:rFonts w:ascii="Times New Roman" w:eastAsia="Times New Roman" w:hAnsi="Times New Roman" w:cs="Times New Roman"/>
          <w:sz w:val="24"/>
          <w:szCs w:val="24"/>
        </w:rPr>
        <w:t>, which date is more than 2 years prior to the filing of the Hearing Request</w:t>
      </w:r>
      <w:r w:rsidRPr="003F0A5A">
        <w:rPr>
          <w:rFonts w:ascii="Times New Roman" w:eastAsia="Times New Roman" w:hAnsi="Times New Roman" w:cs="Times New Roman"/>
          <w:sz w:val="24"/>
          <w:szCs w:val="24"/>
        </w:rPr>
        <w:t>.</w:t>
      </w:r>
    </w:p>
    <w:p w14:paraId="38CA24BA" w14:textId="77777777" w:rsidR="004E7F90" w:rsidRPr="003F0A5A" w:rsidRDefault="004E7F90" w:rsidP="00227121">
      <w:pPr>
        <w:shd w:val="clear" w:color="auto" w:fill="FFFFFF"/>
        <w:jc w:val="center"/>
        <w:rPr>
          <w:rFonts w:ascii="Times New Roman" w:eastAsia="Times New Roman" w:hAnsi="Times New Roman" w:cs="Times New Roman"/>
          <w:sz w:val="24"/>
          <w:szCs w:val="24"/>
        </w:rPr>
      </w:pPr>
    </w:p>
    <w:p w14:paraId="5A43336F" w14:textId="3ED62805" w:rsidR="00296CAE" w:rsidRPr="003F0A5A" w:rsidRDefault="00296CAE" w:rsidP="00227121">
      <w:pPr>
        <w:shd w:val="clear" w:color="auto" w:fill="FFFFFF"/>
        <w:jc w:val="center"/>
        <w:rPr>
          <w:rFonts w:ascii="Times New Roman" w:eastAsia="Times New Roman" w:hAnsi="Times New Roman" w:cs="Times New Roman"/>
          <w:sz w:val="24"/>
          <w:szCs w:val="24"/>
        </w:rPr>
      </w:pPr>
      <w:r w:rsidRPr="003F0A5A">
        <w:rPr>
          <w:rFonts w:ascii="Times New Roman" w:eastAsia="Times New Roman" w:hAnsi="Times New Roman" w:cs="Times New Roman"/>
          <w:b/>
          <w:bCs/>
          <w:sz w:val="24"/>
          <w:szCs w:val="24"/>
        </w:rPr>
        <w:t>LEGAL STANDARD</w:t>
      </w:r>
    </w:p>
    <w:p w14:paraId="25B0B4B5" w14:textId="77777777" w:rsidR="007719BE" w:rsidRPr="003F0A5A" w:rsidRDefault="007719BE" w:rsidP="00227121">
      <w:pPr>
        <w:shd w:val="clear" w:color="auto" w:fill="FFFFFF"/>
        <w:rPr>
          <w:rFonts w:ascii="Times New Roman" w:eastAsia="Times New Roman" w:hAnsi="Times New Roman" w:cs="Times New Roman"/>
          <w:i/>
          <w:iCs/>
          <w:sz w:val="24"/>
          <w:szCs w:val="24"/>
        </w:rPr>
      </w:pPr>
    </w:p>
    <w:p w14:paraId="5F1906D5" w14:textId="56FC3CAE" w:rsidR="00296CAE" w:rsidRPr="003F0A5A" w:rsidRDefault="00296CAE" w:rsidP="00227121">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i/>
          <w:iCs/>
          <w:sz w:val="24"/>
          <w:szCs w:val="24"/>
        </w:rPr>
        <w:t>1. Legal Standard for a Motion to Dismiss.</w:t>
      </w:r>
    </w:p>
    <w:p w14:paraId="5ADC5DD0" w14:textId="77777777" w:rsidR="007719BE" w:rsidRPr="003F0A5A" w:rsidRDefault="007719BE" w:rsidP="00227121">
      <w:pPr>
        <w:shd w:val="clear" w:color="auto" w:fill="FFFFFF"/>
        <w:rPr>
          <w:rFonts w:ascii="Times New Roman" w:eastAsia="Times New Roman" w:hAnsi="Times New Roman" w:cs="Times New Roman"/>
          <w:sz w:val="24"/>
          <w:szCs w:val="24"/>
        </w:rPr>
      </w:pPr>
    </w:p>
    <w:p w14:paraId="5E280D97" w14:textId="553E8220" w:rsidR="00296CAE" w:rsidRPr="003F0A5A" w:rsidRDefault="00296CAE" w:rsidP="00227121">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Pursuant to Rule XVI(A) and (B) of the </w:t>
      </w:r>
      <w:r w:rsidRPr="003F0A5A">
        <w:rPr>
          <w:rFonts w:ascii="Times New Roman" w:eastAsia="Times New Roman" w:hAnsi="Times New Roman" w:cs="Times New Roman"/>
          <w:i/>
          <w:iCs/>
          <w:sz w:val="24"/>
          <w:szCs w:val="24"/>
        </w:rPr>
        <w:t>Hearing Rules for Special Education Appeals </w:t>
      </w:r>
      <w:r w:rsidRPr="003F0A5A">
        <w:rPr>
          <w:rFonts w:ascii="Times New Roman" w:eastAsia="Times New Roman" w:hAnsi="Times New Roman" w:cs="Times New Roman"/>
          <w:sz w:val="24"/>
          <w:szCs w:val="24"/>
        </w:rPr>
        <w:t xml:space="preserve">and 801 CMR 1.01(7)(g)(3), a hearing officer may allow a motion to dismiss if the party requesting the hearing fails to state a claim upon which relief can be granted. </w:t>
      </w:r>
      <w:r w:rsidR="007719BE" w:rsidRPr="003F0A5A">
        <w:rPr>
          <w:rFonts w:ascii="Times New Roman" w:eastAsia="Times New Roman" w:hAnsi="Times New Roman" w:cs="Times New Roman"/>
          <w:sz w:val="24"/>
          <w:szCs w:val="24"/>
        </w:rPr>
        <w:t xml:space="preserve"> As t</w:t>
      </w:r>
      <w:r w:rsidRPr="003F0A5A">
        <w:rPr>
          <w:rFonts w:ascii="Times New Roman" w:eastAsia="Times New Roman" w:hAnsi="Times New Roman" w:cs="Times New Roman"/>
          <w:sz w:val="24"/>
          <w:szCs w:val="24"/>
        </w:rPr>
        <w:t>hese rules are analogous to Rule 12(b)(6) of the Federal Rules of Civil Procedure</w:t>
      </w:r>
      <w:r w:rsidR="007719BE" w:rsidRPr="003F0A5A">
        <w:rPr>
          <w:rFonts w:ascii="Times New Roman" w:eastAsia="Times New Roman" w:hAnsi="Times New Roman" w:cs="Times New Roman"/>
          <w:sz w:val="24"/>
          <w:szCs w:val="24"/>
        </w:rPr>
        <w:t xml:space="preserve">, </w:t>
      </w:r>
      <w:r w:rsidRPr="003F0A5A">
        <w:rPr>
          <w:rFonts w:ascii="Times New Roman" w:eastAsia="Times New Roman" w:hAnsi="Times New Roman" w:cs="Times New Roman"/>
          <w:sz w:val="24"/>
          <w:szCs w:val="24"/>
        </w:rPr>
        <w:t xml:space="preserve">hearing officers </w:t>
      </w:r>
      <w:r w:rsidR="007719BE" w:rsidRPr="003F0A5A">
        <w:rPr>
          <w:rFonts w:ascii="Times New Roman" w:eastAsia="Times New Roman" w:hAnsi="Times New Roman" w:cs="Times New Roman"/>
          <w:sz w:val="24"/>
          <w:szCs w:val="24"/>
        </w:rPr>
        <w:t xml:space="preserve">are generally </w:t>
      </w:r>
      <w:r w:rsidRPr="003F0A5A">
        <w:rPr>
          <w:rFonts w:ascii="Times New Roman" w:eastAsia="Times New Roman" w:hAnsi="Times New Roman" w:cs="Times New Roman"/>
          <w:sz w:val="24"/>
          <w:szCs w:val="24"/>
        </w:rPr>
        <w:t>guided by</w:t>
      </w:r>
      <w:r w:rsidR="007240B1">
        <w:rPr>
          <w:rFonts w:ascii="Times New Roman" w:eastAsia="Times New Roman" w:hAnsi="Times New Roman" w:cs="Times New Roman"/>
          <w:sz w:val="24"/>
          <w:szCs w:val="24"/>
        </w:rPr>
        <w:t xml:space="preserve"> </w:t>
      </w:r>
      <w:r w:rsidRPr="003F0A5A">
        <w:rPr>
          <w:rFonts w:ascii="Times New Roman" w:eastAsia="Times New Roman" w:hAnsi="Times New Roman" w:cs="Times New Roman"/>
          <w:sz w:val="24"/>
          <w:szCs w:val="24"/>
        </w:rPr>
        <w:t>the federal court</w:t>
      </w:r>
      <w:r w:rsidR="007240B1">
        <w:rPr>
          <w:rFonts w:ascii="Times New Roman" w:eastAsia="Times New Roman" w:hAnsi="Times New Roman" w:cs="Times New Roman"/>
          <w:sz w:val="24"/>
          <w:szCs w:val="24"/>
        </w:rPr>
        <w:t xml:space="preserve"> decision</w:t>
      </w:r>
      <w:r w:rsidRPr="003F0A5A">
        <w:rPr>
          <w:rFonts w:ascii="Times New Roman" w:eastAsia="Times New Roman" w:hAnsi="Times New Roman" w:cs="Times New Roman"/>
          <w:sz w:val="24"/>
          <w:szCs w:val="24"/>
        </w:rPr>
        <w:t>s</w:t>
      </w:r>
      <w:r w:rsidR="007A4B62">
        <w:rPr>
          <w:rFonts w:ascii="Times New Roman" w:eastAsia="Times New Roman" w:hAnsi="Times New Roman" w:cs="Times New Roman"/>
          <w:sz w:val="24"/>
          <w:szCs w:val="24"/>
        </w:rPr>
        <w:t xml:space="preserve"> </w:t>
      </w:r>
      <w:r w:rsidRPr="003F0A5A">
        <w:rPr>
          <w:rFonts w:ascii="Times New Roman" w:eastAsia="Times New Roman" w:hAnsi="Times New Roman" w:cs="Times New Roman"/>
          <w:sz w:val="24"/>
          <w:szCs w:val="24"/>
        </w:rPr>
        <w:t xml:space="preserve">in deciding </w:t>
      </w:r>
      <w:r w:rsidR="00186057" w:rsidRPr="003F0A5A">
        <w:rPr>
          <w:rFonts w:ascii="Times New Roman" w:eastAsia="Times New Roman" w:hAnsi="Times New Roman" w:cs="Times New Roman"/>
          <w:sz w:val="24"/>
          <w:szCs w:val="24"/>
        </w:rPr>
        <w:t xml:space="preserve">such </w:t>
      </w:r>
      <w:r w:rsidRPr="003F0A5A">
        <w:rPr>
          <w:rFonts w:ascii="Times New Roman" w:eastAsia="Times New Roman" w:hAnsi="Times New Roman" w:cs="Times New Roman"/>
          <w:sz w:val="24"/>
          <w:szCs w:val="24"/>
        </w:rPr>
        <w:t>motions.</w:t>
      </w:r>
    </w:p>
    <w:p w14:paraId="11E7D259" w14:textId="77777777" w:rsidR="007719BE" w:rsidRPr="003F0A5A" w:rsidRDefault="007719BE" w:rsidP="00227121">
      <w:pPr>
        <w:shd w:val="clear" w:color="auto" w:fill="FFFFFF"/>
        <w:rPr>
          <w:rFonts w:ascii="Times New Roman" w:eastAsia="Times New Roman" w:hAnsi="Times New Roman" w:cs="Times New Roman"/>
          <w:sz w:val="24"/>
          <w:szCs w:val="24"/>
        </w:rPr>
      </w:pPr>
    </w:p>
    <w:p w14:paraId="3E3956AD" w14:textId="0183FBD3" w:rsidR="00E4220C" w:rsidRPr="003F0A5A" w:rsidRDefault="00296CAE" w:rsidP="00227121">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To survive a motion to dismiss, there must exist “factual ‘allegations plausibly suggesting (not merely consistent with)’ an entitlement to relief…”</w:t>
      </w:r>
      <w:r w:rsidRPr="003F0A5A">
        <w:rPr>
          <w:rStyle w:val="FootnoteReference"/>
          <w:rFonts w:ascii="Times New Roman" w:eastAsia="Times New Roman" w:hAnsi="Times New Roman" w:cs="Times New Roman"/>
          <w:sz w:val="24"/>
          <w:szCs w:val="24"/>
        </w:rPr>
        <w:footnoteReference w:id="3"/>
      </w:r>
      <w:r w:rsidRPr="003F0A5A">
        <w:rPr>
          <w:rFonts w:ascii="Times New Roman" w:eastAsia="Times New Roman" w:hAnsi="Times New Roman" w:cs="Times New Roman"/>
          <w:sz w:val="24"/>
          <w:szCs w:val="24"/>
        </w:rPr>
        <w:t>.  The hearing officer must take as true “the allegations of the complaint, as well as such inferences as may be drawn therefrom in the plaintiff’s favor”</w:t>
      </w:r>
      <w:r w:rsidRPr="003F0A5A">
        <w:rPr>
          <w:rStyle w:val="FootnoteReference"/>
          <w:rFonts w:ascii="Times New Roman" w:eastAsia="Times New Roman" w:hAnsi="Times New Roman" w:cs="Times New Roman"/>
          <w:sz w:val="24"/>
          <w:szCs w:val="24"/>
        </w:rPr>
        <w:footnoteReference w:id="4"/>
      </w:r>
      <w:r w:rsidRPr="003F0A5A">
        <w:rPr>
          <w:rFonts w:ascii="Times New Roman" w:eastAsia="Times New Roman" w:hAnsi="Times New Roman" w:cs="Times New Roman"/>
          <w:sz w:val="24"/>
          <w:szCs w:val="24"/>
        </w:rPr>
        <w:t xml:space="preserve">.  </w:t>
      </w:r>
      <w:r w:rsidR="00425B02">
        <w:rPr>
          <w:rFonts w:ascii="Times New Roman" w:eastAsia="Times New Roman" w:hAnsi="Times New Roman" w:cs="Times New Roman"/>
          <w:sz w:val="24"/>
          <w:szCs w:val="24"/>
        </w:rPr>
        <w:t xml:space="preserve">Motions to dismiss are decided based on the </w:t>
      </w:r>
      <w:r w:rsidRPr="003F0A5A">
        <w:rPr>
          <w:rFonts w:ascii="Times New Roman" w:eastAsia="Times New Roman" w:hAnsi="Times New Roman" w:cs="Times New Roman"/>
          <w:sz w:val="24"/>
          <w:szCs w:val="24"/>
        </w:rPr>
        <w:t xml:space="preserve">facts alleged in the </w:t>
      </w:r>
      <w:r w:rsidRPr="00425B02">
        <w:rPr>
          <w:rFonts w:ascii="Times New Roman" w:eastAsia="Times New Roman" w:hAnsi="Times New Roman" w:cs="Times New Roman"/>
          <w:i/>
          <w:iCs/>
          <w:sz w:val="24"/>
          <w:szCs w:val="24"/>
        </w:rPr>
        <w:t xml:space="preserve">Hearing </w:t>
      </w:r>
      <w:r w:rsidRPr="00425B02">
        <w:rPr>
          <w:rFonts w:ascii="Times New Roman" w:eastAsia="Times New Roman" w:hAnsi="Times New Roman" w:cs="Times New Roman"/>
          <w:i/>
          <w:iCs/>
          <w:sz w:val="24"/>
          <w:szCs w:val="24"/>
        </w:rPr>
        <w:lastRenderedPageBreak/>
        <w:t>Request</w:t>
      </w:r>
      <w:r w:rsidRPr="003F0A5A">
        <w:rPr>
          <w:rFonts w:ascii="Times New Roman" w:eastAsia="Times New Roman" w:hAnsi="Times New Roman" w:cs="Times New Roman"/>
          <w:sz w:val="24"/>
          <w:szCs w:val="24"/>
        </w:rPr>
        <w:t xml:space="preserve"> and </w:t>
      </w:r>
      <w:r w:rsidR="00425B02">
        <w:rPr>
          <w:rFonts w:ascii="Times New Roman" w:eastAsia="Times New Roman" w:hAnsi="Times New Roman" w:cs="Times New Roman"/>
          <w:sz w:val="24"/>
          <w:szCs w:val="24"/>
        </w:rPr>
        <w:t xml:space="preserve">such </w:t>
      </w:r>
      <w:r w:rsidRPr="003F0A5A">
        <w:rPr>
          <w:rFonts w:ascii="Times New Roman" w:eastAsia="Times New Roman" w:hAnsi="Times New Roman" w:cs="Times New Roman"/>
          <w:sz w:val="24"/>
          <w:szCs w:val="24"/>
        </w:rPr>
        <w:t xml:space="preserve">documents attached or incorporated by reference to </w:t>
      </w:r>
      <w:r w:rsidR="00425B02">
        <w:rPr>
          <w:rFonts w:ascii="Times New Roman" w:eastAsia="Times New Roman" w:hAnsi="Times New Roman" w:cs="Times New Roman"/>
          <w:sz w:val="24"/>
          <w:szCs w:val="24"/>
        </w:rPr>
        <w:t xml:space="preserve">it </w:t>
      </w:r>
      <w:r w:rsidRPr="003F0A5A">
        <w:rPr>
          <w:rFonts w:ascii="Times New Roman" w:eastAsia="Times New Roman" w:hAnsi="Times New Roman" w:cs="Times New Roman"/>
          <w:sz w:val="24"/>
          <w:szCs w:val="24"/>
        </w:rPr>
        <w:t>as well as matters for which administrative notice may be taken</w:t>
      </w:r>
      <w:r w:rsidRPr="003F0A5A">
        <w:rPr>
          <w:rStyle w:val="FootnoteReference"/>
          <w:rFonts w:ascii="Times New Roman" w:eastAsia="Times New Roman" w:hAnsi="Times New Roman" w:cs="Times New Roman"/>
          <w:sz w:val="24"/>
          <w:szCs w:val="24"/>
        </w:rPr>
        <w:footnoteReference w:id="5"/>
      </w:r>
      <w:r w:rsidRPr="003F0A5A">
        <w:rPr>
          <w:rFonts w:ascii="Times New Roman" w:eastAsia="Times New Roman" w:hAnsi="Times New Roman" w:cs="Times New Roman"/>
          <w:sz w:val="24"/>
          <w:szCs w:val="24"/>
        </w:rPr>
        <w:t>.</w:t>
      </w:r>
    </w:p>
    <w:p w14:paraId="419E4F7E" w14:textId="51658202" w:rsidR="00296CAE" w:rsidRPr="003F0A5A" w:rsidRDefault="00296CAE" w:rsidP="00227121">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 xml:space="preserve">  </w:t>
      </w:r>
    </w:p>
    <w:p w14:paraId="715C755A" w14:textId="5FA40DA4" w:rsidR="00296CAE" w:rsidRPr="003F0A5A" w:rsidRDefault="00425B02" w:rsidP="0022712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96CAE" w:rsidRPr="003F0A5A">
        <w:rPr>
          <w:rFonts w:ascii="Times New Roman" w:eastAsia="Times New Roman" w:hAnsi="Times New Roman" w:cs="Times New Roman"/>
          <w:sz w:val="24"/>
          <w:szCs w:val="24"/>
        </w:rPr>
        <w:t xml:space="preserve"> two-pronged approach</w:t>
      </w:r>
      <w:r>
        <w:rPr>
          <w:rFonts w:ascii="Times New Roman" w:eastAsia="Times New Roman" w:hAnsi="Times New Roman" w:cs="Times New Roman"/>
          <w:sz w:val="24"/>
          <w:szCs w:val="24"/>
        </w:rPr>
        <w:t xml:space="preserve"> is used to analyze motions to dismiss</w:t>
      </w:r>
      <w:r w:rsidR="00296CAE" w:rsidRPr="003F0A5A">
        <w:rPr>
          <w:rStyle w:val="FootnoteReference"/>
          <w:rFonts w:ascii="Times New Roman" w:eastAsia="Times New Roman" w:hAnsi="Times New Roman" w:cs="Times New Roman"/>
          <w:sz w:val="24"/>
          <w:szCs w:val="24"/>
        </w:rPr>
        <w:footnoteReference w:id="6"/>
      </w:r>
      <w:r w:rsidR="00296CAE" w:rsidRPr="003F0A5A">
        <w:rPr>
          <w:rFonts w:ascii="Times New Roman" w:eastAsia="Times New Roman" w:hAnsi="Times New Roman" w:cs="Times New Roman"/>
          <w:sz w:val="24"/>
          <w:szCs w:val="24"/>
        </w:rPr>
        <w:t xml:space="preserve">.  First hearing officers </w:t>
      </w:r>
      <w:r w:rsidR="00296CAE" w:rsidRPr="003F0A5A">
        <w:rPr>
          <w:rFonts w:ascii="Times New Roman" w:eastAsia="Times New Roman" w:hAnsi="Times New Roman" w:cs="Times New Roman"/>
          <w:sz w:val="24"/>
          <w:szCs w:val="24"/>
          <w:shd w:val="clear" w:color="auto" w:fill="FFFFFF"/>
        </w:rPr>
        <w:t>“begin by identifying and disregarding statements in the [</w:t>
      </w:r>
      <w:r w:rsidR="00296CAE" w:rsidRPr="00425B02">
        <w:rPr>
          <w:rFonts w:ascii="Times New Roman" w:eastAsia="Times New Roman" w:hAnsi="Times New Roman" w:cs="Times New Roman"/>
          <w:i/>
          <w:iCs/>
          <w:sz w:val="24"/>
          <w:szCs w:val="24"/>
          <w:shd w:val="clear" w:color="auto" w:fill="FFFFFF"/>
        </w:rPr>
        <w:t>Hearing Request</w:t>
      </w:r>
      <w:r w:rsidR="00296CAE" w:rsidRPr="003F0A5A">
        <w:rPr>
          <w:rFonts w:ascii="Times New Roman" w:eastAsia="Times New Roman" w:hAnsi="Times New Roman" w:cs="Times New Roman"/>
          <w:sz w:val="24"/>
          <w:szCs w:val="24"/>
          <w:shd w:val="clear" w:color="auto" w:fill="FFFFFF"/>
        </w:rPr>
        <w:t>] that merely offer ‘legal conclusion[s] couched as ... fact[ ]’ or ‘[t]hreadbare recitals of the elements of a cause of action.’”</w:t>
      </w:r>
      <w:r w:rsidR="00296CAE" w:rsidRPr="003F0A5A">
        <w:rPr>
          <w:rStyle w:val="FootnoteReference"/>
          <w:rFonts w:ascii="Times New Roman" w:eastAsia="Times New Roman" w:hAnsi="Times New Roman" w:cs="Times New Roman"/>
          <w:sz w:val="24"/>
          <w:szCs w:val="24"/>
          <w:shd w:val="clear" w:color="auto" w:fill="FFFFFF"/>
        </w:rPr>
        <w:footnoteReference w:id="7"/>
      </w:r>
      <w:r w:rsidR="00296CAE" w:rsidRPr="003F0A5A">
        <w:rPr>
          <w:rFonts w:ascii="Times New Roman" w:eastAsia="Times New Roman" w:hAnsi="Times New Roman" w:cs="Times New Roman"/>
          <w:sz w:val="24"/>
          <w:szCs w:val="24"/>
          <w:shd w:val="clear" w:color="auto" w:fill="FFFFFF"/>
        </w:rPr>
        <w:t>.  Once this is completed, “non-conclusory factual allegations in the [</w:t>
      </w:r>
      <w:r w:rsidR="00296CAE" w:rsidRPr="008F51A2">
        <w:rPr>
          <w:rFonts w:ascii="Times New Roman" w:eastAsia="Times New Roman" w:hAnsi="Times New Roman" w:cs="Times New Roman"/>
          <w:i/>
          <w:iCs/>
          <w:sz w:val="24"/>
          <w:szCs w:val="24"/>
          <w:shd w:val="clear" w:color="auto" w:fill="FFFFFF"/>
        </w:rPr>
        <w:t>Hearing Request</w:t>
      </w:r>
      <w:r w:rsidR="00296CAE" w:rsidRPr="003F0A5A">
        <w:rPr>
          <w:rFonts w:ascii="Times New Roman" w:eastAsia="Times New Roman" w:hAnsi="Times New Roman" w:cs="Times New Roman"/>
          <w:sz w:val="24"/>
          <w:szCs w:val="24"/>
          <w:shd w:val="clear" w:color="auto" w:fill="FFFFFF"/>
        </w:rPr>
        <w:t>] must then be treated as true, even if seemingly incredible</w:t>
      </w:r>
      <w:r w:rsidR="00296CAE" w:rsidRPr="003F0A5A">
        <w:rPr>
          <w:rStyle w:val="FootnoteReference"/>
          <w:rFonts w:ascii="Times New Roman" w:eastAsia="Times New Roman" w:hAnsi="Times New Roman" w:cs="Times New Roman"/>
          <w:sz w:val="24"/>
          <w:szCs w:val="24"/>
          <w:shd w:val="clear" w:color="auto" w:fill="FFFFFF"/>
        </w:rPr>
        <w:footnoteReference w:id="8"/>
      </w:r>
      <w:r w:rsidR="00296CAE" w:rsidRPr="003F0A5A">
        <w:rPr>
          <w:rFonts w:ascii="Times New Roman" w:eastAsia="Times New Roman" w:hAnsi="Times New Roman" w:cs="Times New Roman"/>
          <w:sz w:val="24"/>
          <w:szCs w:val="24"/>
          <w:shd w:val="clear" w:color="auto" w:fill="FFFFFF"/>
        </w:rPr>
        <w:t>.</w:t>
      </w:r>
      <w:r w:rsidR="00296CAE" w:rsidRPr="003F0A5A">
        <w:rPr>
          <w:rFonts w:ascii="Times New Roman" w:eastAsia="Times New Roman" w:hAnsi="Times New Roman" w:cs="Times New Roman"/>
          <w:sz w:val="24"/>
          <w:szCs w:val="24"/>
        </w:rPr>
        <w:t xml:space="preserve">  The party opposing the motion</w:t>
      </w:r>
      <w:r w:rsidR="008F51A2">
        <w:rPr>
          <w:rFonts w:ascii="Times New Roman" w:eastAsia="Times New Roman" w:hAnsi="Times New Roman" w:cs="Times New Roman"/>
          <w:sz w:val="24"/>
          <w:szCs w:val="24"/>
        </w:rPr>
        <w:t>, therefore,</w:t>
      </w:r>
      <w:r w:rsidR="00296CAE" w:rsidRPr="003F0A5A">
        <w:rPr>
          <w:rFonts w:ascii="Times New Roman" w:eastAsia="Times New Roman" w:hAnsi="Times New Roman" w:cs="Times New Roman"/>
          <w:sz w:val="24"/>
          <w:szCs w:val="24"/>
        </w:rPr>
        <w:t xml:space="preserve"> must show “factual allegations … enough to raise a right to relief above the speculative level... [based] on the assumption that all the allegations in the complaint are true (even if doubtful in fact) ....”</w:t>
      </w:r>
      <w:r w:rsidR="00296CAE" w:rsidRPr="003F0A5A">
        <w:rPr>
          <w:rStyle w:val="FootnoteReference"/>
          <w:rFonts w:ascii="Times New Roman" w:eastAsia="Times New Roman" w:hAnsi="Times New Roman" w:cs="Times New Roman"/>
          <w:sz w:val="24"/>
          <w:szCs w:val="24"/>
        </w:rPr>
        <w:footnoteReference w:id="9"/>
      </w:r>
      <w:r w:rsidR="00296CAE" w:rsidRPr="003F0A5A">
        <w:rPr>
          <w:rFonts w:ascii="Times New Roman" w:eastAsia="Times New Roman" w:hAnsi="Times New Roman" w:cs="Times New Roman"/>
          <w:sz w:val="24"/>
          <w:szCs w:val="24"/>
        </w:rPr>
        <w:t xml:space="preserve">.  </w:t>
      </w:r>
    </w:p>
    <w:p w14:paraId="45154C02" w14:textId="77777777" w:rsidR="007719BE" w:rsidRPr="003F0A5A" w:rsidRDefault="007719BE" w:rsidP="00227121">
      <w:pPr>
        <w:shd w:val="clear" w:color="auto" w:fill="FFFFFF"/>
        <w:rPr>
          <w:rFonts w:ascii="Times New Roman" w:eastAsia="Times New Roman" w:hAnsi="Times New Roman" w:cs="Times New Roman"/>
          <w:i/>
          <w:iCs/>
          <w:sz w:val="24"/>
          <w:szCs w:val="24"/>
        </w:rPr>
      </w:pPr>
    </w:p>
    <w:p w14:paraId="3EFC770E" w14:textId="5B72257E" w:rsidR="00296CAE" w:rsidRPr="003F0A5A" w:rsidRDefault="00296CAE" w:rsidP="00227121">
      <w:pPr>
        <w:shd w:val="clear" w:color="auto" w:fill="FFFFFF"/>
        <w:rPr>
          <w:rFonts w:ascii="Times New Roman" w:hAnsi="Times New Roman" w:cs="Times New Roman"/>
          <w:i/>
          <w:iCs/>
          <w:sz w:val="24"/>
          <w:szCs w:val="24"/>
        </w:rPr>
      </w:pPr>
      <w:r w:rsidRPr="003F0A5A">
        <w:rPr>
          <w:rFonts w:ascii="Times New Roman" w:eastAsia="Times New Roman" w:hAnsi="Times New Roman" w:cs="Times New Roman"/>
          <w:i/>
          <w:iCs/>
          <w:sz w:val="24"/>
          <w:szCs w:val="24"/>
        </w:rPr>
        <w:t>2.</w:t>
      </w:r>
      <w:r w:rsidRPr="003F0A5A">
        <w:rPr>
          <w:rFonts w:ascii="Times New Roman" w:eastAsia="Times New Roman" w:hAnsi="Times New Roman" w:cs="Times New Roman"/>
          <w:i/>
          <w:iCs/>
          <w:sz w:val="24"/>
          <w:szCs w:val="24"/>
        </w:rPr>
        <w:tab/>
      </w:r>
      <w:r w:rsidRPr="003F0A5A">
        <w:rPr>
          <w:rFonts w:ascii="Times New Roman" w:hAnsi="Times New Roman" w:cs="Times New Roman"/>
          <w:i/>
          <w:iCs/>
          <w:sz w:val="24"/>
          <w:szCs w:val="24"/>
        </w:rPr>
        <w:t>Jurisdiction of BSEA.</w:t>
      </w:r>
    </w:p>
    <w:p w14:paraId="4745BE4A" w14:textId="77777777" w:rsidR="00296CAE" w:rsidRPr="003F0A5A" w:rsidRDefault="00296CAE" w:rsidP="00227121">
      <w:pPr>
        <w:shd w:val="clear" w:color="auto" w:fill="FFFFFF"/>
        <w:rPr>
          <w:rFonts w:ascii="Times New Roman" w:hAnsi="Times New Roman" w:cs="Times New Roman"/>
          <w:i/>
          <w:iCs/>
          <w:sz w:val="24"/>
          <w:szCs w:val="24"/>
        </w:rPr>
      </w:pPr>
    </w:p>
    <w:p w14:paraId="0159C526" w14:textId="3B6181A0" w:rsidR="0094696E" w:rsidRPr="00CD6243" w:rsidRDefault="0094696E" w:rsidP="0094696E">
      <w:pPr>
        <w:rPr>
          <w:rFonts w:ascii="Times New Roman" w:eastAsia="Times New Roman" w:hAnsi="Times New Roman" w:cs="Times New Roman"/>
          <w:bCs/>
          <w:color w:val="000000"/>
          <w:sz w:val="24"/>
          <w:szCs w:val="24"/>
        </w:rPr>
      </w:pPr>
      <w:r w:rsidRPr="00CD6243">
        <w:rPr>
          <w:rFonts w:ascii="Times New Roman" w:eastAsia="Times New Roman" w:hAnsi="Times New Roman" w:cs="Times New Roman"/>
          <w:bCs/>
          <w:color w:val="000000"/>
          <w:sz w:val="24"/>
          <w:szCs w:val="24"/>
        </w:rPr>
        <w:t xml:space="preserve">20 USC §1415(b)(6), grants parties the right to file timely complaints </w:t>
      </w:r>
      <w:r w:rsidR="000158A6">
        <w:rPr>
          <w:rFonts w:ascii="Times New Roman" w:eastAsia="Times New Roman" w:hAnsi="Times New Roman" w:cs="Times New Roman"/>
          <w:bCs/>
          <w:color w:val="000000"/>
          <w:sz w:val="24"/>
          <w:szCs w:val="24"/>
        </w:rPr>
        <w:t>(</w:t>
      </w:r>
      <w:r w:rsidRPr="00CD6243">
        <w:rPr>
          <w:rFonts w:ascii="Times New Roman" w:eastAsia="Times New Roman" w:hAnsi="Times New Roman" w:cs="Times New Roman"/>
          <w:bCs/>
          <w:color w:val="000000"/>
          <w:sz w:val="24"/>
          <w:szCs w:val="24"/>
        </w:rPr>
        <w:t xml:space="preserve">with the state educational agency designated to hear </w:t>
      </w:r>
      <w:r w:rsidR="000158A6">
        <w:rPr>
          <w:rFonts w:ascii="Times New Roman" w:eastAsia="Times New Roman" w:hAnsi="Times New Roman" w:cs="Times New Roman"/>
          <w:bCs/>
          <w:color w:val="000000"/>
          <w:sz w:val="24"/>
          <w:szCs w:val="24"/>
        </w:rPr>
        <w:t>same)</w:t>
      </w:r>
      <w:r w:rsidRPr="00CD6243">
        <w:rPr>
          <w:rFonts w:ascii="Times New Roman" w:eastAsia="Times New Roman" w:hAnsi="Times New Roman" w:cs="Times New Roman"/>
          <w:bCs/>
          <w:color w:val="000000"/>
          <w:sz w:val="24"/>
          <w:szCs w:val="24"/>
        </w:rPr>
        <w:t xml:space="preserve"> “with respect to any matter relating to the identification, evaluation or educational placement of the child, or the provision of a free appropriate public education to such child”</w:t>
      </w:r>
      <w:r w:rsidR="004E1280">
        <w:rPr>
          <w:rStyle w:val="FootnoteReference"/>
          <w:rFonts w:ascii="Times New Roman" w:eastAsia="Times New Roman" w:hAnsi="Times New Roman" w:cs="Times New Roman"/>
          <w:bCs/>
          <w:color w:val="000000"/>
          <w:sz w:val="24"/>
          <w:szCs w:val="24"/>
        </w:rPr>
        <w:footnoteReference w:id="10"/>
      </w:r>
      <w:r w:rsidRPr="00CD6243">
        <w:rPr>
          <w:rFonts w:ascii="Times New Roman" w:eastAsia="Times New Roman" w:hAnsi="Times New Roman" w:cs="Times New Roman"/>
          <w:bCs/>
          <w:color w:val="000000"/>
          <w:sz w:val="24"/>
          <w:szCs w:val="24"/>
        </w:rPr>
        <w:t>.  Similarly, M.G.L. c. 71B §2A</w:t>
      </w:r>
      <w:r w:rsidR="00641D8D">
        <w:rPr>
          <w:rFonts w:ascii="Times New Roman" w:eastAsia="Times New Roman" w:hAnsi="Times New Roman" w:cs="Times New Roman"/>
          <w:bCs/>
          <w:color w:val="000000"/>
          <w:sz w:val="24"/>
          <w:szCs w:val="24"/>
        </w:rPr>
        <w:t>,</w:t>
      </w:r>
      <w:r w:rsidRPr="00CD6243">
        <w:rPr>
          <w:rFonts w:ascii="Times New Roman" w:eastAsia="Times New Roman" w:hAnsi="Times New Roman" w:cs="Times New Roman"/>
          <w:bCs/>
          <w:color w:val="000000"/>
          <w:sz w:val="24"/>
          <w:szCs w:val="24"/>
        </w:rPr>
        <w:t xml:space="preserve"> establishing the BSEA, authorizes it to resolve special education disputes,</w:t>
      </w:r>
    </w:p>
    <w:p w14:paraId="6BECEF62" w14:textId="77777777" w:rsidR="0094696E" w:rsidRPr="00CD6243" w:rsidRDefault="0094696E" w:rsidP="0094696E">
      <w:pPr>
        <w:ind w:left="720" w:right="720"/>
        <w:rPr>
          <w:rFonts w:ascii="Times New Roman" w:eastAsia="Times New Roman" w:hAnsi="Times New Roman" w:cs="Times New Roman"/>
          <w:bCs/>
          <w:color w:val="000000"/>
          <w:sz w:val="24"/>
          <w:szCs w:val="24"/>
        </w:rPr>
      </w:pPr>
    </w:p>
    <w:p w14:paraId="1EEC0AFC" w14:textId="63F0BC6F" w:rsidR="009D5FC1" w:rsidRDefault="0094696E" w:rsidP="00EE3828">
      <w:pPr>
        <w:ind w:left="720" w:right="720"/>
        <w:jc w:val="both"/>
        <w:rPr>
          <w:rFonts w:ascii="Times New Roman" w:eastAsia="Times New Roman" w:hAnsi="Times New Roman" w:cs="Times New Roman"/>
          <w:bCs/>
          <w:color w:val="000000"/>
          <w:sz w:val="24"/>
          <w:szCs w:val="24"/>
        </w:rPr>
      </w:pPr>
      <w:r w:rsidRPr="00CD6243">
        <w:rPr>
          <w:rFonts w:ascii="Times New Roman" w:eastAsia="Times New Roman" w:hAnsi="Times New Roman" w:cs="Times New Roman"/>
          <w:bCs/>
          <w:color w:val="000000"/>
          <w:sz w:val="24"/>
          <w:szCs w:val="24"/>
        </w:rPr>
        <w:t>…  between and among parents, school districts, private schools and state agencies concerning: (i) any matter relating to the identification, evaluation, education program or educational placement of a child with a disability or the provision of a free and appropriate public education to the child arising under this chapter and regulations promulgated hereunder or under the Individuals with Disabilities Education Act, 20 U.S.C. section 1400 et seq., and its regulations; or (ii) a student's rights under Section 504 of the Rehabilitation Act of 1973, 29 U.S.C. section 794, and its regulations.</w:t>
      </w:r>
    </w:p>
    <w:p w14:paraId="45678864" w14:textId="2FE8498F" w:rsidR="00072320" w:rsidRDefault="00072320" w:rsidP="00EC2358">
      <w:pPr>
        <w:shd w:val="clear" w:color="auto" w:fill="FFFFFF"/>
        <w:ind w:left="720" w:right="720"/>
        <w:rPr>
          <w:rFonts w:ascii="Times New Roman" w:eastAsia="Times New Roman" w:hAnsi="Times New Roman" w:cs="Times New Roman"/>
          <w:bCs/>
          <w:color w:val="000000"/>
          <w:sz w:val="24"/>
          <w:szCs w:val="24"/>
        </w:rPr>
      </w:pPr>
    </w:p>
    <w:p w14:paraId="185693BA" w14:textId="52911C4E" w:rsidR="00FD6B82" w:rsidRPr="00FD6B82" w:rsidRDefault="00641D8D" w:rsidP="00EC2358">
      <w:pPr>
        <w:shd w:val="clear" w:color="auto" w:fill="FFFFFF"/>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w:t>
      </w:r>
      <w:r w:rsidR="00072320">
        <w:rPr>
          <w:rFonts w:ascii="Times New Roman" w:eastAsia="Times New Roman" w:hAnsi="Times New Roman" w:cs="Times New Roman"/>
          <w:bCs/>
          <w:color w:val="000000"/>
          <w:sz w:val="24"/>
          <w:szCs w:val="24"/>
        </w:rPr>
        <w:t xml:space="preserve">n those cases within the jurisdiction of the BSEA, </w:t>
      </w:r>
      <w:r w:rsidR="00EC2358">
        <w:rPr>
          <w:rFonts w:ascii="Times New Roman" w:eastAsia="Times New Roman" w:hAnsi="Times New Roman" w:cs="Times New Roman"/>
          <w:bCs/>
          <w:color w:val="000000"/>
          <w:sz w:val="24"/>
          <w:szCs w:val="24"/>
        </w:rPr>
        <w:t xml:space="preserve">the </w:t>
      </w:r>
      <w:r w:rsidR="00072320">
        <w:rPr>
          <w:rFonts w:ascii="Times New Roman" w:eastAsia="Times New Roman" w:hAnsi="Times New Roman" w:cs="Times New Roman"/>
          <w:bCs/>
          <w:color w:val="000000"/>
          <w:sz w:val="24"/>
          <w:szCs w:val="24"/>
        </w:rPr>
        <w:t xml:space="preserve">available remedies are also limited by </w:t>
      </w:r>
      <w:r w:rsidR="00137361">
        <w:rPr>
          <w:rFonts w:ascii="Times New Roman" w:eastAsia="Times New Roman" w:hAnsi="Times New Roman" w:cs="Times New Roman"/>
          <w:bCs/>
          <w:color w:val="000000"/>
          <w:sz w:val="24"/>
          <w:szCs w:val="24"/>
        </w:rPr>
        <w:t>the law</w:t>
      </w:r>
      <w:r w:rsidR="00072320">
        <w:rPr>
          <w:rFonts w:ascii="Times New Roman" w:eastAsia="Times New Roman" w:hAnsi="Times New Roman" w:cs="Times New Roman"/>
          <w:bCs/>
          <w:color w:val="000000"/>
          <w:sz w:val="24"/>
          <w:szCs w:val="24"/>
        </w:rPr>
        <w:t xml:space="preserve">.  </w:t>
      </w:r>
      <w:r w:rsidR="001B7EEB">
        <w:rPr>
          <w:rFonts w:ascii="Times New Roman" w:eastAsia="Times New Roman" w:hAnsi="Times New Roman" w:cs="Times New Roman"/>
          <w:bCs/>
          <w:color w:val="000000"/>
          <w:sz w:val="24"/>
          <w:szCs w:val="24"/>
        </w:rPr>
        <w:t xml:space="preserve">Regardless of how a claim is characterized, if it is, in essence, a claim alleging a failure to provide a FAPE to a student, </w:t>
      </w:r>
      <w:r w:rsidR="003C463F">
        <w:rPr>
          <w:rFonts w:ascii="Times New Roman" w:eastAsia="Times New Roman" w:hAnsi="Times New Roman" w:cs="Times New Roman"/>
          <w:bCs/>
          <w:color w:val="000000"/>
          <w:sz w:val="24"/>
          <w:szCs w:val="24"/>
        </w:rPr>
        <w:t xml:space="preserve">punitive damages and tort-like compensatory damages are not available, </w:t>
      </w:r>
      <w:r w:rsidR="00B70E0B">
        <w:rPr>
          <w:rFonts w:ascii="Times New Roman" w:eastAsia="Times New Roman" w:hAnsi="Times New Roman" w:cs="Times New Roman"/>
          <w:bCs/>
          <w:color w:val="000000"/>
          <w:sz w:val="24"/>
          <w:szCs w:val="24"/>
        </w:rPr>
        <w:t>“…</w:t>
      </w:r>
      <w:r w:rsidR="00FD6B82" w:rsidRPr="00FD6B82">
        <w:rPr>
          <w:rFonts w:ascii="Times New Roman" w:eastAsia="Times New Roman" w:hAnsi="Times New Roman" w:cs="Times New Roman"/>
          <w:bCs/>
          <w:color w:val="000000"/>
          <w:sz w:val="24"/>
          <w:szCs w:val="24"/>
        </w:rPr>
        <w:t>because the windfall of such awards to IDEA plaintiffs would likely come at the expense of other educational benefits for other schoolchildren by diverting from them scarce educational resources</w:t>
      </w:r>
      <w:r w:rsidR="00FD6B82">
        <w:rPr>
          <w:rFonts w:ascii="Times New Roman" w:eastAsia="Times New Roman" w:hAnsi="Times New Roman" w:cs="Times New Roman"/>
          <w:bCs/>
          <w:color w:val="000000"/>
          <w:sz w:val="24"/>
          <w:szCs w:val="24"/>
        </w:rPr>
        <w:t>”</w:t>
      </w:r>
      <w:r w:rsidR="00FD6B82">
        <w:rPr>
          <w:rStyle w:val="FootnoteReference"/>
          <w:rFonts w:ascii="Times New Roman" w:eastAsia="Times New Roman" w:hAnsi="Times New Roman" w:cs="Times New Roman"/>
          <w:bCs/>
          <w:color w:val="000000"/>
          <w:sz w:val="24"/>
          <w:szCs w:val="24"/>
        </w:rPr>
        <w:footnoteReference w:id="11"/>
      </w:r>
      <w:r w:rsidR="00FD6B82">
        <w:rPr>
          <w:rFonts w:ascii="Times New Roman" w:eastAsia="Times New Roman" w:hAnsi="Times New Roman" w:cs="Times New Roman"/>
          <w:bCs/>
          <w:color w:val="000000"/>
          <w:sz w:val="24"/>
          <w:szCs w:val="24"/>
        </w:rPr>
        <w:t>.</w:t>
      </w:r>
      <w:r w:rsidR="002F459A">
        <w:rPr>
          <w:rFonts w:ascii="Times New Roman" w:eastAsia="Times New Roman" w:hAnsi="Times New Roman" w:cs="Times New Roman"/>
          <w:bCs/>
          <w:color w:val="000000"/>
          <w:sz w:val="24"/>
          <w:szCs w:val="24"/>
        </w:rPr>
        <w:t xml:space="preserve">  </w:t>
      </w:r>
      <w:r w:rsidR="00F94D0D">
        <w:rPr>
          <w:rFonts w:ascii="Times New Roman" w:eastAsia="Times New Roman" w:hAnsi="Times New Roman" w:cs="Times New Roman"/>
          <w:bCs/>
          <w:color w:val="000000"/>
          <w:sz w:val="24"/>
          <w:szCs w:val="24"/>
        </w:rPr>
        <w:t xml:space="preserve">As the First Circuit recognized, </w:t>
      </w:r>
      <w:r w:rsidR="00EC2358">
        <w:rPr>
          <w:rFonts w:ascii="Times New Roman" w:eastAsia="Times New Roman" w:hAnsi="Times New Roman" w:cs="Times New Roman"/>
          <w:bCs/>
          <w:color w:val="000000"/>
          <w:sz w:val="24"/>
          <w:szCs w:val="24"/>
        </w:rPr>
        <w:t>“i</w:t>
      </w:r>
      <w:r w:rsidR="00F94D0D" w:rsidRPr="00F94D0D">
        <w:rPr>
          <w:rFonts w:ascii="Times New Roman" w:eastAsia="Times New Roman" w:hAnsi="Times New Roman" w:cs="Times New Roman"/>
          <w:bCs/>
          <w:color w:val="000000"/>
          <w:sz w:val="24"/>
          <w:szCs w:val="24"/>
        </w:rPr>
        <w:t xml:space="preserve">n choosing not to authorize tort-like monetary damages or punitive damages in cases under the IDEA, Congress made a balanced </w:t>
      </w:r>
      <w:r w:rsidR="00F94D0D" w:rsidRPr="00F94D0D">
        <w:rPr>
          <w:rFonts w:ascii="Times New Roman" w:eastAsia="Times New Roman" w:hAnsi="Times New Roman" w:cs="Times New Roman"/>
          <w:bCs/>
          <w:color w:val="000000"/>
          <w:sz w:val="24"/>
          <w:szCs w:val="24"/>
        </w:rPr>
        <w:lastRenderedPageBreak/>
        <w:t>judgment that such damages would be an unjustified remedy for this statutorily created cause of action</w:t>
      </w:r>
      <w:r w:rsidR="00402F4E">
        <w:rPr>
          <w:rFonts w:ascii="Times New Roman" w:eastAsia="Times New Roman" w:hAnsi="Times New Roman" w:cs="Times New Roman"/>
          <w:bCs/>
          <w:color w:val="000000"/>
          <w:sz w:val="24"/>
          <w:szCs w:val="24"/>
        </w:rPr>
        <w:t>”</w:t>
      </w:r>
      <w:r w:rsidR="00EC2358">
        <w:rPr>
          <w:rStyle w:val="FootnoteReference"/>
          <w:rFonts w:ascii="Times New Roman" w:eastAsia="Times New Roman" w:hAnsi="Times New Roman" w:cs="Times New Roman"/>
          <w:bCs/>
          <w:color w:val="000000"/>
          <w:sz w:val="24"/>
          <w:szCs w:val="24"/>
        </w:rPr>
        <w:footnoteReference w:id="12"/>
      </w:r>
      <w:r w:rsidR="00402F4E">
        <w:rPr>
          <w:rFonts w:ascii="Times New Roman" w:eastAsia="Times New Roman" w:hAnsi="Times New Roman" w:cs="Times New Roman"/>
          <w:bCs/>
          <w:color w:val="000000"/>
          <w:sz w:val="24"/>
          <w:szCs w:val="24"/>
        </w:rPr>
        <w:t>.</w:t>
      </w:r>
      <w:r w:rsidR="00EC2358">
        <w:rPr>
          <w:rFonts w:ascii="Times New Roman" w:eastAsia="Times New Roman" w:hAnsi="Times New Roman" w:cs="Times New Roman"/>
          <w:bCs/>
          <w:color w:val="000000"/>
          <w:sz w:val="24"/>
          <w:szCs w:val="24"/>
        </w:rPr>
        <w:t xml:space="preserve">  </w:t>
      </w:r>
      <w:r w:rsidR="00137361">
        <w:rPr>
          <w:rFonts w:ascii="Times New Roman" w:eastAsia="Times New Roman" w:hAnsi="Times New Roman" w:cs="Times New Roman"/>
          <w:bCs/>
          <w:color w:val="000000"/>
          <w:sz w:val="24"/>
          <w:szCs w:val="24"/>
        </w:rPr>
        <w:t>Instead, t</w:t>
      </w:r>
      <w:r w:rsidR="0040181E">
        <w:rPr>
          <w:rFonts w:ascii="Times New Roman" w:eastAsia="Times New Roman" w:hAnsi="Times New Roman" w:cs="Times New Roman"/>
          <w:bCs/>
          <w:color w:val="000000"/>
          <w:sz w:val="24"/>
          <w:szCs w:val="24"/>
        </w:rPr>
        <w:t>he available damages under the IDEA involve</w:t>
      </w:r>
      <w:r w:rsidR="00A9178E">
        <w:rPr>
          <w:rFonts w:ascii="Times New Roman" w:eastAsia="Times New Roman" w:hAnsi="Times New Roman" w:cs="Times New Roman"/>
          <w:bCs/>
          <w:color w:val="000000"/>
          <w:sz w:val="24"/>
          <w:szCs w:val="24"/>
        </w:rPr>
        <w:t xml:space="preserve"> </w:t>
      </w:r>
      <w:r w:rsidR="0040181E">
        <w:rPr>
          <w:rFonts w:ascii="Times New Roman" w:eastAsia="Times New Roman" w:hAnsi="Times New Roman" w:cs="Times New Roman"/>
          <w:bCs/>
          <w:color w:val="000000"/>
          <w:sz w:val="24"/>
          <w:szCs w:val="24"/>
        </w:rPr>
        <w:t>“[a]</w:t>
      </w:r>
      <w:r w:rsidR="0040181E" w:rsidRPr="0040181E">
        <w:rPr>
          <w:rFonts w:ascii="Times New Roman" w:eastAsia="Times New Roman" w:hAnsi="Times New Roman" w:cs="Times New Roman"/>
          <w:bCs/>
          <w:color w:val="000000"/>
          <w:sz w:val="24"/>
          <w:szCs w:val="24"/>
        </w:rPr>
        <w:t>wards of compensatory education and equitable remedies that involve the payment of money, such as reimbursements to parents for expenses incurred on private educational services to which their child was later found to have been entitled</w:t>
      </w:r>
      <w:r w:rsidR="003C192D">
        <w:rPr>
          <w:rFonts w:ascii="Times New Roman" w:eastAsia="Times New Roman" w:hAnsi="Times New Roman" w:cs="Times New Roman"/>
          <w:bCs/>
          <w:color w:val="000000"/>
          <w:sz w:val="24"/>
          <w:szCs w:val="24"/>
        </w:rPr>
        <w:t xml:space="preserve"> …</w:t>
      </w:r>
      <w:r w:rsidR="0040181E">
        <w:rPr>
          <w:rFonts w:ascii="Times New Roman" w:eastAsia="Times New Roman" w:hAnsi="Times New Roman" w:cs="Times New Roman"/>
          <w:bCs/>
          <w:color w:val="000000"/>
          <w:sz w:val="24"/>
          <w:szCs w:val="24"/>
        </w:rPr>
        <w:t>”</w:t>
      </w:r>
      <w:r w:rsidR="003C192D">
        <w:rPr>
          <w:rStyle w:val="FootnoteReference"/>
          <w:rFonts w:ascii="Times New Roman" w:eastAsia="Times New Roman" w:hAnsi="Times New Roman" w:cs="Times New Roman"/>
          <w:bCs/>
          <w:color w:val="000000"/>
          <w:sz w:val="24"/>
          <w:szCs w:val="24"/>
        </w:rPr>
        <w:footnoteReference w:id="13"/>
      </w:r>
      <w:r w:rsidR="00137361">
        <w:rPr>
          <w:rFonts w:ascii="Times New Roman" w:eastAsia="Times New Roman" w:hAnsi="Times New Roman" w:cs="Times New Roman"/>
          <w:bCs/>
          <w:color w:val="000000"/>
          <w:sz w:val="24"/>
          <w:szCs w:val="24"/>
        </w:rPr>
        <w:t>.</w:t>
      </w:r>
    </w:p>
    <w:p w14:paraId="25AAA069" w14:textId="77777777" w:rsidR="0094696E" w:rsidRPr="003F0A5A" w:rsidRDefault="0094696E" w:rsidP="0094696E">
      <w:pPr>
        <w:shd w:val="clear" w:color="auto" w:fill="FFFFFF"/>
        <w:rPr>
          <w:rFonts w:ascii="Times New Roman" w:hAnsi="Times New Roman" w:cs="Times New Roman"/>
          <w:i/>
          <w:iCs/>
          <w:sz w:val="24"/>
          <w:szCs w:val="24"/>
        </w:rPr>
      </w:pPr>
    </w:p>
    <w:p w14:paraId="030F0312" w14:textId="2A4D0EAA" w:rsidR="00296CAE" w:rsidRPr="003F0A5A" w:rsidRDefault="00296CAE" w:rsidP="00227121">
      <w:pPr>
        <w:shd w:val="clear" w:color="auto" w:fill="FFFFFF"/>
        <w:rPr>
          <w:rFonts w:ascii="Times New Roman" w:hAnsi="Times New Roman" w:cs="Times New Roman"/>
          <w:i/>
          <w:iCs/>
          <w:sz w:val="24"/>
          <w:szCs w:val="24"/>
        </w:rPr>
      </w:pPr>
      <w:r w:rsidRPr="003F0A5A">
        <w:rPr>
          <w:rFonts w:ascii="Times New Roman" w:hAnsi="Times New Roman" w:cs="Times New Roman"/>
          <w:i/>
          <w:iCs/>
          <w:sz w:val="24"/>
          <w:szCs w:val="24"/>
        </w:rPr>
        <w:t>3.</w:t>
      </w:r>
      <w:r w:rsidRPr="003F0A5A">
        <w:rPr>
          <w:rFonts w:ascii="Times New Roman" w:hAnsi="Times New Roman" w:cs="Times New Roman"/>
          <w:i/>
          <w:iCs/>
          <w:sz w:val="24"/>
          <w:szCs w:val="24"/>
        </w:rPr>
        <w:tab/>
        <w:t xml:space="preserve">Statute of Limitations Applicable to BSEA Hearings. </w:t>
      </w:r>
    </w:p>
    <w:p w14:paraId="346029EF" w14:textId="3CE4F8E8" w:rsidR="00BE2AA9" w:rsidRDefault="00841B2A" w:rsidP="00227121">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 requires </w:t>
      </w:r>
      <w:r w:rsidR="00CF78A2">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due process proceedings be commenced within two years of the date that a party knew or should have known of t</w:t>
      </w:r>
      <w:r w:rsidR="00D4447B">
        <w:rPr>
          <w:rFonts w:ascii="Times New Roman" w:eastAsia="Times New Roman" w:hAnsi="Times New Roman" w:cs="Times New Roman"/>
          <w:sz w:val="24"/>
          <w:szCs w:val="24"/>
        </w:rPr>
        <w:t xml:space="preserve">he </w:t>
      </w:r>
      <w:r w:rsidR="00172281">
        <w:rPr>
          <w:rFonts w:ascii="Times New Roman" w:eastAsia="Times New Roman" w:hAnsi="Times New Roman" w:cs="Times New Roman"/>
          <w:sz w:val="24"/>
          <w:szCs w:val="24"/>
        </w:rPr>
        <w:t xml:space="preserve">actions forming the basis of </w:t>
      </w:r>
      <w:r w:rsidR="00AB5B97">
        <w:rPr>
          <w:rFonts w:ascii="Times New Roman" w:eastAsia="Times New Roman" w:hAnsi="Times New Roman" w:cs="Times New Roman"/>
          <w:sz w:val="24"/>
          <w:szCs w:val="24"/>
        </w:rPr>
        <w:t>its</w:t>
      </w:r>
      <w:r w:rsidR="00172281">
        <w:rPr>
          <w:rFonts w:ascii="Times New Roman" w:eastAsia="Times New Roman" w:hAnsi="Times New Roman" w:cs="Times New Roman"/>
          <w:sz w:val="24"/>
          <w:szCs w:val="24"/>
        </w:rPr>
        <w:t xml:space="preserve"> hearing request</w:t>
      </w:r>
      <w:r w:rsidR="00613566">
        <w:rPr>
          <w:rStyle w:val="FootnoteReference"/>
          <w:rFonts w:ascii="Times New Roman" w:eastAsia="Times New Roman" w:hAnsi="Times New Roman" w:cs="Times New Roman"/>
          <w:sz w:val="24"/>
          <w:szCs w:val="24"/>
        </w:rPr>
        <w:footnoteReference w:id="14"/>
      </w:r>
      <w:r w:rsidR="00D4447B">
        <w:rPr>
          <w:rFonts w:ascii="Times New Roman" w:eastAsia="Times New Roman" w:hAnsi="Times New Roman" w:cs="Times New Roman"/>
          <w:sz w:val="24"/>
          <w:szCs w:val="24"/>
        </w:rPr>
        <w:t xml:space="preserve">.  </w:t>
      </w:r>
      <w:r w:rsidR="00BE2AA9">
        <w:rPr>
          <w:rFonts w:ascii="Times New Roman" w:eastAsia="Times New Roman" w:hAnsi="Times New Roman" w:cs="Times New Roman"/>
          <w:sz w:val="24"/>
          <w:szCs w:val="24"/>
        </w:rPr>
        <w:t xml:space="preserve">The only exceptions to this two-year limitation period are if a </w:t>
      </w:r>
      <w:r w:rsidR="00237C8C">
        <w:rPr>
          <w:rFonts w:ascii="Times New Roman" w:eastAsia="Times New Roman" w:hAnsi="Times New Roman" w:cs="Times New Roman"/>
          <w:sz w:val="24"/>
          <w:szCs w:val="24"/>
        </w:rPr>
        <w:t>p</w:t>
      </w:r>
      <w:r w:rsidR="00BE2AA9">
        <w:rPr>
          <w:rFonts w:ascii="Times New Roman" w:eastAsia="Times New Roman" w:hAnsi="Times New Roman" w:cs="Times New Roman"/>
          <w:sz w:val="24"/>
          <w:szCs w:val="24"/>
        </w:rPr>
        <w:t xml:space="preserve">arent is prevented from filing a hearing request because of “(i) </w:t>
      </w:r>
      <w:r w:rsidR="00BE2AA9" w:rsidRPr="00BE2AA9">
        <w:rPr>
          <w:rFonts w:ascii="Times New Roman" w:eastAsia="Times New Roman" w:hAnsi="Times New Roman" w:cs="Times New Roman"/>
          <w:sz w:val="24"/>
          <w:szCs w:val="24"/>
        </w:rPr>
        <w:t>specific misrepresentations by the</w:t>
      </w:r>
      <w:r w:rsidR="00BE2AA9">
        <w:rPr>
          <w:rFonts w:ascii="Times New Roman" w:eastAsia="Times New Roman" w:hAnsi="Times New Roman" w:cs="Times New Roman"/>
          <w:sz w:val="24"/>
          <w:szCs w:val="24"/>
        </w:rPr>
        <w:t xml:space="preserve"> [</w:t>
      </w:r>
      <w:r w:rsidR="00237C8C">
        <w:rPr>
          <w:rFonts w:ascii="Times New Roman" w:eastAsia="Times New Roman" w:hAnsi="Times New Roman" w:cs="Times New Roman"/>
          <w:sz w:val="24"/>
          <w:szCs w:val="24"/>
        </w:rPr>
        <w:t>d</w:t>
      </w:r>
      <w:r w:rsidR="00BE2AA9">
        <w:rPr>
          <w:rFonts w:ascii="Times New Roman" w:eastAsia="Times New Roman" w:hAnsi="Times New Roman" w:cs="Times New Roman"/>
          <w:sz w:val="24"/>
          <w:szCs w:val="24"/>
        </w:rPr>
        <w:t>istrict]</w:t>
      </w:r>
      <w:r w:rsidR="00BE2AA9" w:rsidRPr="00BE2AA9">
        <w:rPr>
          <w:rFonts w:ascii="Times New Roman" w:eastAsia="Times New Roman" w:hAnsi="Times New Roman" w:cs="Times New Roman"/>
          <w:sz w:val="24"/>
          <w:szCs w:val="24"/>
        </w:rPr>
        <w:t xml:space="preserve"> that it had resolved the problem forming the basis of the complaint; or</w:t>
      </w:r>
      <w:r w:rsidR="00BE2AA9">
        <w:rPr>
          <w:rFonts w:ascii="Times New Roman" w:eastAsia="Times New Roman" w:hAnsi="Times New Roman" w:cs="Times New Roman"/>
          <w:sz w:val="24"/>
          <w:szCs w:val="24"/>
        </w:rPr>
        <w:t xml:space="preserve"> (ii) the [</w:t>
      </w:r>
      <w:r w:rsidR="00237C8C">
        <w:rPr>
          <w:rFonts w:ascii="Times New Roman" w:eastAsia="Times New Roman" w:hAnsi="Times New Roman" w:cs="Times New Roman"/>
          <w:sz w:val="24"/>
          <w:szCs w:val="24"/>
        </w:rPr>
        <w:t>d</w:t>
      </w:r>
      <w:r w:rsidR="00BE2AA9">
        <w:rPr>
          <w:rFonts w:ascii="Times New Roman" w:eastAsia="Times New Roman" w:hAnsi="Times New Roman" w:cs="Times New Roman"/>
          <w:sz w:val="24"/>
          <w:szCs w:val="24"/>
        </w:rPr>
        <w:t>istrict]</w:t>
      </w:r>
      <w:r w:rsidR="00BE2AA9" w:rsidRPr="00BE2AA9">
        <w:rPr>
          <w:rFonts w:ascii="Times New Roman" w:eastAsia="Times New Roman" w:hAnsi="Times New Roman" w:cs="Times New Roman"/>
          <w:sz w:val="24"/>
          <w:szCs w:val="24"/>
        </w:rPr>
        <w:t>’s withholding of information from the</w:t>
      </w:r>
      <w:r w:rsidR="00BE2AA9">
        <w:rPr>
          <w:rFonts w:ascii="Times New Roman" w:eastAsia="Times New Roman" w:hAnsi="Times New Roman" w:cs="Times New Roman"/>
          <w:sz w:val="24"/>
          <w:szCs w:val="24"/>
        </w:rPr>
        <w:t xml:space="preserve"> </w:t>
      </w:r>
      <w:r w:rsidR="00237C8C">
        <w:rPr>
          <w:rFonts w:ascii="Times New Roman" w:eastAsia="Times New Roman" w:hAnsi="Times New Roman" w:cs="Times New Roman"/>
          <w:sz w:val="24"/>
          <w:szCs w:val="24"/>
        </w:rPr>
        <w:t>p</w:t>
      </w:r>
      <w:r w:rsidR="00BE2AA9">
        <w:rPr>
          <w:rFonts w:ascii="Times New Roman" w:eastAsia="Times New Roman" w:hAnsi="Times New Roman" w:cs="Times New Roman"/>
          <w:sz w:val="24"/>
          <w:szCs w:val="24"/>
        </w:rPr>
        <w:t>arent that</w:t>
      </w:r>
      <w:r w:rsidR="001C4761">
        <w:rPr>
          <w:rFonts w:ascii="Times New Roman" w:eastAsia="Times New Roman" w:hAnsi="Times New Roman" w:cs="Times New Roman"/>
          <w:sz w:val="24"/>
          <w:szCs w:val="24"/>
        </w:rPr>
        <w:t xml:space="preserve"> </w:t>
      </w:r>
      <w:r w:rsidR="00BE2AA9">
        <w:rPr>
          <w:rFonts w:ascii="Times New Roman" w:eastAsia="Times New Roman" w:hAnsi="Times New Roman" w:cs="Times New Roman"/>
          <w:sz w:val="24"/>
          <w:szCs w:val="24"/>
        </w:rPr>
        <w:t>was required … to be provided …”</w:t>
      </w:r>
      <w:r w:rsidR="00BE2AA9">
        <w:rPr>
          <w:rStyle w:val="FootnoteReference"/>
          <w:rFonts w:ascii="Times New Roman" w:eastAsia="Times New Roman" w:hAnsi="Times New Roman" w:cs="Times New Roman"/>
          <w:sz w:val="24"/>
          <w:szCs w:val="24"/>
        </w:rPr>
        <w:footnoteReference w:id="15"/>
      </w:r>
      <w:r w:rsidR="00BE2AA9">
        <w:rPr>
          <w:rFonts w:ascii="Times New Roman" w:eastAsia="Times New Roman" w:hAnsi="Times New Roman" w:cs="Times New Roman"/>
          <w:sz w:val="24"/>
          <w:szCs w:val="24"/>
        </w:rPr>
        <w:t xml:space="preserve">.  </w:t>
      </w:r>
      <w:r w:rsidR="00AB236C">
        <w:rPr>
          <w:rFonts w:ascii="Times New Roman" w:eastAsia="Times New Roman" w:hAnsi="Times New Roman" w:cs="Times New Roman"/>
          <w:sz w:val="24"/>
          <w:szCs w:val="24"/>
        </w:rPr>
        <w:t xml:space="preserve">There are no </w:t>
      </w:r>
      <w:r w:rsidR="00BE2AA9">
        <w:rPr>
          <w:rFonts w:ascii="Times New Roman" w:eastAsia="Times New Roman" w:hAnsi="Times New Roman" w:cs="Times New Roman"/>
          <w:sz w:val="24"/>
          <w:szCs w:val="24"/>
        </w:rPr>
        <w:t>legal exceptions to this two-year limitation period</w:t>
      </w:r>
      <w:r w:rsidR="001C4761">
        <w:rPr>
          <w:rFonts w:ascii="Times New Roman" w:eastAsia="Times New Roman" w:hAnsi="Times New Roman" w:cs="Times New Roman"/>
          <w:sz w:val="24"/>
          <w:szCs w:val="24"/>
        </w:rPr>
        <w:t xml:space="preserve"> for</w:t>
      </w:r>
      <w:r w:rsidR="000C05AA">
        <w:rPr>
          <w:rFonts w:ascii="Times New Roman" w:eastAsia="Times New Roman" w:hAnsi="Times New Roman" w:cs="Times New Roman"/>
          <w:sz w:val="24"/>
          <w:szCs w:val="24"/>
        </w:rPr>
        <w:t xml:space="preserve"> claims file</w:t>
      </w:r>
      <w:r w:rsidR="007240B1">
        <w:rPr>
          <w:rFonts w:ascii="Times New Roman" w:eastAsia="Times New Roman" w:hAnsi="Times New Roman" w:cs="Times New Roman"/>
          <w:sz w:val="24"/>
          <w:szCs w:val="24"/>
        </w:rPr>
        <w:t>d</w:t>
      </w:r>
      <w:r w:rsidR="00AB236C">
        <w:rPr>
          <w:rFonts w:ascii="Times New Roman" w:eastAsia="Times New Roman" w:hAnsi="Times New Roman" w:cs="Times New Roman"/>
          <w:sz w:val="24"/>
          <w:szCs w:val="24"/>
        </w:rPr>
        <w:t xml:space="preserve"> by Districts</w:t>
      </w:r>
      <w:r w:rsidR="00BE2AA9">
        <w:rPr>
          <w:rStyle w:val="FootnoteReference"/>
          <w:rFonts w:ascii="Times New Roman" w:eastAsia="Times New Roman" w:hAnsi="Times New Roman" w:cs="Times New Roman"/>
          <w:sz w:val="24"/>
          <w:szCs w:val="24"/>
        </w:rPr>
        <w:footnoteReference w:id="16"/>
      </w:r>
      <w:r w:rsidR="00BE2AA9">
        <w:rPr>
          <w:rFonts w:ascii="Times New Roman" w:eastAsia="Times New Roman" w:hAnsi="Times New Roman" w:cs="Times New Roman"/>
          <w:sz w:val="24"/>
          <w:szCs w:val="24"/>
        </w:rPr>
        <w:t xml:space="preserve">.  </w:t>
      </w:r>
    </w:p>
    <w:p w14:paraId="0F674220" w14:textId="647073DB" w:rsidR="00237C8C" w:rsidRPr="00237C8C" w:rsidRDefault="00237C8C" w:rsidP="00227121">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this legal authority in mind, I turn to Malden’s </w:t>
      </w:r>
      <w:r>
        <w:rPr>
          <w:rFonts w:ascii="Times New Roman" w:eastAsia="Times New Roman" w:hAnsi="Times New Roman" w:cs="Times New Roman"/>
          <w:i/>
          <w:iCs/>
          <w:sz w:val="24"/>
          <w:szCs w:val="24"/>
        </w:rPr>
        <w:t>Response/Motion</w:t>
      </w:r>
      <w:r>
        <w:rPr>
          <w:rFonts w:ascii="Times New Roman" w:eastAsia="Times New Roman" w:hAnsi="Times New Roman" w:cs="Times New Roman"/>
          <w:sz w:val="24"/>
          <w:szCs w:val="24"/>
        </w:rPr>
        <w:t>.</w:t>
      </w:r>
    </w:p>
    <w:p w14:paraId="215B158F" w14:textId="77777777" w:rsidR="00237C8C" w:rsidRDefault="00237C8C" w:rsidP="00227121">
      <w:pPr>
        <w:shd w:val="clear" w:color="auto" w:fill="FFFFFF"/>
        <w:jc w:val="center"/>
        <w:rPr>
          <w:rFonts w:ascii="Times New Roman" w:eastAsia="Times New Roman" w:hAnsi="Times New Roman" w:cs="Times New Roman"/>
          <w:sz w:val="24"/>
          <w:szCs w:val="24"/>
        </w:rPr>
      </w:pPr>
    </w:p>
    <w:p w14:paraId="5E228A11" w14:textId="1059CD81" w:rsidR="00296CAE" w:rsidRPr="003F0A5A" w:rsidRDefault="00296CAE" w:rsidP="00227121">
      <w:pPr>
        <w:shd w:val="clear" w:color="auto" w:fill="FFFFFF"/>
        <w:jc w:val="center"/>
        <w:rPr>
          <w:rFonts w:ascii="Times New Roman" w:eastAsia="Times New Roman" w:hAnsi="Times New Roman" w:cs="Times New Roman"/>
          <w:sz w:val="24"/>
          <w:szCs w:val="24"/>
        </w:rPr>
      </w:pPr>
      <w:r w:rsidRPr="003F0A5A">
        <w:rPr>
          <w:rFonts w:ascii="Times New Roman" w:eastAsia="Times New Roman" w:hAnsi="Times New Roman" w:cs="Times New Roman"/>
          <w:b/>
          <w:bCs/>
          <w:sz w:val="24"/>
          <w:szCs w:val="24"/>
        </w:rPr>
        <w:t>APPLICATION OF LEGAL STANDARD</w:t>
      </w:r>
      <w:r w:rsidR="00EA24CA">
        <w:rPr>
          <w:rFonts w:ascii="Times New Roman" w:eastAsia="Times New Roman" w:hAnsi="Times New Roman" w:cs="Times New Roman"/>
          <w:b/>
          <w:bCs/>
          <w:sz w:val="24"/>
          <w:szCs w:val="24"/>
        </w:rPr>
        <w:t>S</w:t>
      </w:r>
    </w:p>
    <w:p w14:paraId="24675F00" w14:textId="77777777" w:rsidR="00237C8C" w:rsidRDefault="00237C8C" w:rsidP="00227121">
      <w:pPr>
        <w:shd w:val="clear" w:color="auto" w:fill="FFFFFF"/>
        <w:rPr>
          <w:rFonts w:ascii="Times New Roman" w:eastAsia="Times New Roman" w:hAnsi="Times New Roman" w:cs="Times New Roman"/>
          <w:sz w:val="24"/>
          <w:szCs w:val="24"/>
        </w:rPr>
      </w:pPr>
    </w:p>
    <w:p w14:paraId="12CE462B" w14:textId="74276FF6" w:rsidR="002C50FB" w:rsidRDefault="00237C8C" w:rsidP="0022712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reviewing the </w:t>
      </w:r>
      <w:r>
        <w:rPr>
          <w:rFonts w:ascii="Times New Roman" w:eastAsia="Times New Roman" w:hAnsi="Times New Roman" w:cs="Times New Roman"/>
          <w:i/>
          <w:iCs/>
          <w:sz w:val="24"/>
          <w:szCs w:val="24"/>
        </w:rPr>
        <w:t>Hearing Request</w:t>
      </w:r>
      <w:r>
        <w:rPr>
          <w:rFonts w:ascii="Times New Roman" w:eastAsia="Times New Roman" w:hAnsi="Times New Roman" w:cs="Times New Roman"/>
          <w:sz w:val="24"/>
          <w:szCs w:val="24"/>
        </w:rPr>
        <w:t xml:space="preserve"> in the light most favorable to Parent</w:t>
      </w:r>
      <w:r w:rsidR="009D547F">
        <w:rPr>
          <w:rFonts w:ascii="Times New Roman" w:eastAsia="Times New Roman" w:hAnsi="Times New Roman" w:cs="Times New Roman"/>
          <w:sz w:val="24"/>
          <w:szCs w:val="24"/>
        </w:rPr>
        <w:t>, as I am required to do</w:t>
      </w:r>
      <w:r w:rsidR="0038602B" w:rsidRPr="003F0A5A">
        <w:rPr>
          <w:rStyle w:val="FootnoteReference"/>
          <w:rFonts w:ascii="Times New Roman" w:eastAsia="Times New Roman" w:hAnsi="Times New Roman" w:cs="Times New Roman"/>
          <w:sz w:val="24"/>
          <w:szCs w:val="24"/>
        </w:rPr>
        <w:footnoteReference w:id="17"/>
      </w:r>
      <w:r w:rsidR="009D54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am unable to find any allegations that are alleged to have occurred within the two years prior to its filing, (i.e.</w:t>
      </w:r>
      <w:r w:rsidR="00F259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 or before </w:t>
      </w:r>
      <w:r w:rsidR="00F259AE">
        <w:rPr>
          <w:rFonts w:ascii="Times New Roman" w:eastAsia="Times New Roman" w:hAnsi="Times New Roman" w:cs="Times New Roman"/>
          <w:sz w:val="24"/>
          <w:szCs w:val="24"/>
        </w:rPr>
        <w:t>February 7, 2020)</w:t>
      </w:r>
      <w:r w:rsidR="00F419B5">
        <w:rPr>
          <w:rStyle w:val="FootnoteReference"/>
          <w:rFonts w:ascii="Times New Roman" w:eastAsia="Times New Roman" w:hAnsi="Times New Roman" w:cs="Times New Roman"/>
          <w:sz w:val="24"/>
          <w:szCs w:val="24"/>
        </w:rPr>
        <w:footnoteReference w:id="18"/>
      </w:r>
      <w:r w:rsidR="00F259AE">
        <w:rPr>
          <w:rFonts w:ascii="Times New Roman" w:eastAsia="Times New Roman" w:hAnsi="Times New Roman" w:cs="Times New Roman"/>
          <w:sz w:val="24"/>
          <w:szCs w:val="24"/>
        </w:rPr>
        <w:t xml:space="preserve">.  All the emails referenced in the </w:t>
      </w:r>
      <w:r w:rsidR="00F259AE" w:rsidRPr="000C05AA">
        <w:rPr>
          <w:rFonts w:ascii="Times New Roman" w:eastAsia="Times New Roman" w:hAnsi="Times New Roman" w:cs="Times New Roman"/>
          <w:i/>
          <w:iCs/>
          <w:sz w:val="24"/>
          <w:szCs w:val="24"/>
        </w:rPr>
        <w:t xml:space="preserve">Hearing </w:t>
      </w:r>
      <w:r w:rsidR="000C05AA">
        <w:rPr>
          <w:rFonts w:ascii="Times New Roman" w:eastAsia="Times New Roman" w:hAnsi="Times New Roman" w:cs="Times New Roman"/>
          <w:i/>
          <w:iCs/>
          <w:sz w:val="24"/>
          <w:szCs w:val="24"/>
        </w:rPr>
        <w:t>R</w:t>
      </w:r>
      <w:r w:rsidR="00F259AE" w:rsidRPr="000C05AA">
        <w:rPr>
          <w:rFonts w:ascii="Times New Roman" w:eastAsia="Times New Roman" w:hAnsi="Times New Roman" w:cs="Times New Roman"/>
          <w:i/>
          <w:iCs/>
          <w:sz w:val="24"/>
          <w:szCs w:val="24"/>
        </w:rPr>
        <w:t>equest</w:t>
      </w:r>
      <w:r w:rsidR="00F259AE">
        <w:rPr>
          <w:rFonts w:ascii="Times New Roman" w:eastAsia="Times New Roman" w:hAnsi="Times New Roman" w:cs="Times New Roman"/>
          <w:sz w:val="24"/>
          <w:szCs w:val="24"/>
        </w:rPr>
        <w:t xml:space="preserve"> were sent by Parent in 2015, </w:t>
      </w:r>
      <w:r w:rsidR="0016258A">
        <w:rPr>
          <w:rFonts w:ascii="Times New Roman" w:eastAsia="Times New Roman" w:hAnsi="Times New Roman" w:cs="Times New Roman"/>
          <w:sz w:val="24"/>
          <w:szCs w:val="24"/>
        </w:rPr>
        <w:t xml:space="preserve">and the </w:t>
      </w:r>
      <w:r w:rsidR="000C05AA">
        <w:rPr>
          <w:rFonts w:ascii="Times New Roman" w:eastAsia="Times New Roman" w:hAnsi="Times New Roman" w:cs="Times New Roman"/>
          <w:sz w:val="24"/>
          <w:szCs w:val="24"/>
        </w:rPr>
        <w:t>final</w:t>
      </w:r>
      <w:r w:rsidR="0016258A">
        <w:rPr>
          <w:rFonts w:ascii="Times New Roman" w:eastAsia="Times New Roman" w:hAnsi="Times New Roman" w:cs="Times New Roman"/>
          <w:sz w:val="24"/>
          <w:szCs w:val="24"/>
        </w:rPr>
        <w:t xml:space="preserve"> educational evaluation she </w:t>
      </w:r>
      <w:r w:rsidR="000C05AA">
        <w:rPr>
          <w:rFonts w:ascii="Times New Roman" w:eastAsia="Times New Roman" w:hAnsi="Times New Roman" w:cs="Times New Roman"/>
          <w:sz w:val="24"/>
          <w:szCs w:val="24"/>
        </w:rPr>
        <w:t xml:space="preserve">references was administered </w:t>
      </w:r>
      <w:r w:rsidR="0016258A">
        <w:rPr>
          <w:rFonts w:ascii="Times New Roman" w:eastAsia="Times New Roman" w:hAnsi="Times New Roman" w:cs="Times New Roman"/>
          <w:sz w:val="24"/>
          <w:szCs w:val="24"/>
        </w:rPr>
        <w:t xml:space="preserve">on September 13, 2017.  </w:t>
      </w:r>
      <w:r w:rsidR="009D547F">
        <w:rPr>
          <w:rFonts w:ascii="Times New Roman" w:eastAsia="Times New Roman" w:hAnsi="Times New Roman" w:cs="Times New Roman"/>
          <w:sz w:val="24"/>
          <w:szCs w:val="24"/>
        </w:rPr>
        <w:t xml:space="preserve">Although </w:t>
      </w:r>
      <w:r w:rsidR="0016258A">
        <w:rPr>
          <w:rFonts w:ascii="Times New Roman" w:eastAsia="Times New Roman" w:hAnsi="Times New Roman" w:cs="Times New Roman"/>
          <w:sz w:val="24"/>
          <w:szCs w:val="24"/>
        </w:rPr>
        <w:t>Paren</w:t>
      </w:r>
      <w:r w:rsidR="00406511">
        <w:rPr>
          <w:rFonts w:ascii="Times New Roman" w:eastAsia="Times New Roman" w:hAnsi="Times New Roman" w:cs="Times New Roman"/>
          <w:sz w:val="24"/>
          <w:szCs w:val="24"/>
        </w:rPr>
        <w:t>t</w:t>
      </w:r>
      <w:r w:rsidR="0016258A">
        <w:rPr>
          <w:rFonts w:ascii="Times New Roman" w:eastAsia="Times New Roman" w:hAnsi="Times New Roman" w:cs="Times New Roman"/>
          <w:sz w:val="24"/>
          <w:szCs w:val="24"/>
        </w:rPr>
        <w:t xml:space="preserve"> </w:t>
      </w:r>
      <w:r w:rsidR="009D547F">
        <w:rPr>
          <w:rFonts w:ascii="Times New Roman" w:eastAsia="Times New Roman" w:hAnsi="Times New Roman" w:cs="Times New Roman"/>
          <w:sz w:val="24"/>
          <w:szCs w:val="24"/>
        </w:rPr>
        <w:t xml:space="preserve">alleges </w:t>
      </w:r>
      <w:r w:rsidR="00095A99">
        <w:rPr>
          <w:rFonts w:ascii="Times New Roman" w:eastAsia="Times New Roman" w:hAnsi="Times New Roman" w:cs="Times New Roman"/>
          <w:sz w:val="24"/>
          <w:szCs w:val="24"/>
        </w:rPr>
        <w:t>that “currently” Malden would no longer provide services were she to move out of Malden</w:t>
      </w:r>
      <w:r w:rsidR="009D547F">
        <w:rPr>
          <w:rFonts w:ascii="Times New Roman" w:eastAsia="Times New Roman" w:hAnsi="Times New Roman" w:cs="Times New Roman"/>
          <w:sz w:val="24"/>
          <w:szCs w:val="24"/>
        </w:rPr>
        <w:t>, she</w:t>
      </w:r>
      <w:r w:rsidR="00095A99">
        <w:rPr>
          <w:rFonts w:ascii="Times New Roman" w:eastAsia="Times New Roman" w:hAnsi="Times New Roman" w:cs="Times New Roman"/>
          <w:sz w:val="24"/>
          <w:szCs w:val="24"/>
        </w:rPr>
        <w:t xml:space="preserve"> does not identify specifically when Malden made this claim</w:t>
      </w:r>
      <w:r w:rsidR="009D547F">
        <w:rPr>
          <w:rFonts w:ascii="Times New Roman" w:eastAsia="Times New Roman" w:hAnsi="Times New Roman" w:cs="Times New Roman"/>
          <w:sz w:val="24"/>
          <w:szCs w:val="24"/>
        </w:rPr>
        <w:t xml:space="preserve">.  </w:t>
      </w:r>
      <w:r w:rsidR="00AB236C">
        <w:rPr>
          <w:rFonts w:ascii="Times New Roman" w:eastAsia="Times New Roman" w:hAnsi="Times New Roman" w:cs="Times New Roman"/>
          <w:sz w:val="24"/>
          <w:szCs w:val="24"/>
        </w:rPr>
        <w:t>And, w</w:t>
      </w:r>
      <w:r w:rsidR="00095A99">
        <w:rPr>
          <w:rFonts w:ascii="Times New Roman" w:eastAsia="Times New Roman" w:hAnsi="Times New Roman" w:cs="Times New Roman"/>
          <w:sz w:val="24"/>
          <w:szCs w:val="24"/>
        </w:rPr>
        <w:t>hen</w:t>
      </w:r>
      <w:r w:rsidR="009D547F">
        <w:rPr>
          <w:rFonts w:ascii="Times New Roman" w:eastAsia="Times New Roman" w:hAnsi="Times New Roman" w:cs="Times New Roman"/>
          <w:sz w:val="24"/>
          <w:szCs w:val="24"/>
        </w:rPr>
        <w:t xml:space="preserve"> </w:t>
      </w:r>
      <w:r w:rsidR="00095A99">
        <w:rPr>
          <w:rFonts w:ascii="Times New Roman" w:eastAsia="Times New Roman" w:hAnsi="Times New Roman" w:cs="Times New Roman"/>
          <w:sz w:val="24"/>
          <w:szCs w:val="24"/>
        </w:rPr>
        <w:t xml:space="preserve">viewed in the context of the </w:t>
      </w:r>
      <w:r w:rsidR="00AB236C">
        <w:rPr>
          <w:rFonts w:ascii="Times New Roman" w:eastAsia="Times New Roman" w:hAnsi="Times New Roman" w:cs="Times New Roman"/>
          <w:sz w:val="24"/>
          <w:szCs w:val="24"/>
        </w:rPr>
        <w:t>totality of</w:t>
      </w:r>
      <w:r w:rsidR="009D547F">
        <w:rPr>
          <w:rFonts w:ascii="Times New Roman" w:eastAsia="Times New Roman" w:hAnsi="Times New Roman" w:cs="Times New Roman"/>
          <w:sz w:val="24"/>
          <w:szCs w:val="24"/>
        </w:rPr>
        <w:t xml:space="preserve"> </w:t>
      </w:r>
      <w:r w:rsidR="00095A99">
        <w:rPr>
          <w:rFonts w:ascii="Times New Roman" w:eastAsia="Times New Roman" w:hAnsi="Times New Roman" w:cs="Times New Roman"/>
          <w:sz w:val="24"/>
          <w:szCs w:val="24"/>
        </w:rPr>
        <w:t xml:space="preserve">the </w:t>
      </w:r>
      <w:r w:rsidR="00095A99" w:rsidRPr="000C05AA">
        <w:rPr>
          <w:rFonts w:ascii="Times New Roman" w:eastAsia="Times New Roman" w:hAnsi="Times New Roman" w:cs="Times New Roman"/>
          <w:i/>
          <w:iCs/>
          <w:sz w:val="24"/>
          <w:szCs w:val="24"/>
        </w:rPr>
        <w:t>Hearing Request</w:t>
      </w:r>
      <w:r w:rsidR="00095A99">
        <w:rPr>
          <w:rFonts w:ascii="Times New Roman" w:eastAsia="Times New Roman" w:hAnsi="Times New Roman" w:cs="Times New Roman"/>
          <w:sz w:val="24"/>
          <w:szCs w:val="24"/>
        </w:rPr>
        <w:t>, which clearly identifies a Peabody, M</w:t>
      </w:r>
      <w:r w:rsidR="000C05AA">
        <w:rPr>
          <w:rFonts w:ascii="Times New Roman" w:eastAsia="Times New Roman" w:hAnsi="Times New Roman" w:cs="Times New Roman"/>
          <w:sz w:val="24"/>
          <w:szCs w:val="24"/>
        </w:rPr>
        <w:t>A</w:t>
      </w:r>
      <w:r w:rsidR="00095A99">
        <w:rPr>
          <w:rFonts w:ascii="Times New Roman" w:eastAsia="Times New Roman" w:hAnsi="Times New Roman" w:cs="Times New Roman"/>
          <w:sz w:val="24"/>
          <w:szCs w:val="24"/>
        </w:rPr>
        <w:t xml:space="preserve"> address for Parent, as well as Malden’s </w:t>
      </w:r>
      <w:r w:rsidR="00095A99">
        <w:rPr>
          <w:rFonts w:ascii="Times New Roman" w:eastAsia="Times New Roman" w:hAnsi="Times New Roman" w:cs="Times New Roman"/>
          <w:i/>
          <w:iCs/>
          <w:sz w:val="24"/>
          <w:szCs w:val="24"/>
        </w:rPr>
        <w:t>Request/Motion</w:t>
      </w:r>
      <w:r w:rsidR="00095A99">
        <w:rPr>
          <w:rFonts w:ascii="Times New Roman" w:eastAsia="Times New Roman" w:hAnsi="Times New Roman" w:cs="Times New Roman"/>
          <w:sz w:val="24"/>
          <w:szCs w:val="24"/>
        </w:rPr>
        <w:t xml:space="preserve"> that </w:t>
      </w:r>
      <w:r w:rsidR="009D547F">
        <w:rPr>
          <w:rFonts w:ascii="Times New Roman" w:eastAsia="Times New Roman" w:hAnsi="Times New Roman" w:cs="Times New Roman"/>
          <w:sz w:val="24"/>
          <w:szCs w:val="24"/>
        </w:rPr>
        <w:t xml:space="preserve">indicates Student withdrew from Malden on November 1, 2018, I conclude that this allegation is also beyond the statutory timeframe.  </w:t>
      </w:r>
      <w:r w:rsidR="00127C38">
        <w:rPr>
          <w:rFonts w:ascii="Times New Roman" w:eastAsia="Times New Roman" w:hAnsi="Times New Roman" w:cs="Times New Roman"/>
          <w:sz w:val="24"/>
          <w:szCs w:val="24"/>
        </w:rPr>
        <w:t xml:space="preserve">Moreover, </w:t>
      </w:r>
      <w:r w:rsidR="00D462A6">
        <w:rPr>
          <w:rFonts w:ascii="Times New Roman" w:eastAsia="Times New Roman" w:hAnsi="Times New Roman" w:cs="Times New Roman"/>
          <w:sz w:val="24"/>
          <w:szCs w:val="24"/>
        </w:rPr>
        <w:t xml:space="preserve">I note that </w:t>
      </w:r>
      <w:r w:rsidR="00127C38">
        <w:rPr>
          <w:rFonts w:ascii="Times New Roman" w:eastAsia="Times New Roman" w:hAnsi="Times New Roman" w:cs="Times New Roman"/>
          <w:sz w:val="24"/>
          <w:szCs w:val="24"/>
        </w:rPr>
        <w:t>Parent</w:t>
      </w:r>
      <w:r w:rsidR="00AB236C">
        <w:rPr>
          <w:rFonts w:ascii="Times New Roman" w:eastAsia="Times New Roman" w:hAnsi="Times New Roman" w:cs="Times New Roman"/>
          <w:sz w:val="24"/>
          <w:szCs w:val="24"/>
        </w:rPr>
        <w:t>’s Attorney confirmed during the Conference Call that he agrees all claims are beyond the statutory limitation period, and Parent</w:t>
      </w:r>
      <w:r w:rsidR="007240B1">
        <w:rPr>
          <w:rFonts w:ascii="Times New Roman" w:eastAsia="Times New Roman" w:hAnsi="Times New Roman" w:cs="Times New Roman"/>
          <w:sz w:val="24"/>
          <w:szCs w:val="24"/>
        </w:rPr>
        <w:t xml:space="preserve"> </w:t>
      </w:r>
      <w:r w:rsidR="00127C38">
        <w:rPr>
          <w:rFonts w:ascii="Times New Roman" w:eastAsia="Times New Roman" w:hAnsi="Times New Roman" w:cs="Times New Roman"/>
          <w:sz w:val="24"/>
          <w:szCs w:val="24"/>
        </w:rPr>
        <w:t xml:space="preserve">did not file any response to Malden’s </w:t>
      </w:r>
      <w:r w:rsidR="00127C38">
        <w:rPr>
          <w:rFonts w:ascii="Times New Roman" w:eastAsia="Times New Roman" w:hAnsi="Times New Roman" w:cs="Times New Roman"/>
          <w:i/>
          <w:iCs/>
          <w:sz w:val="24"/>
          <w:szCs w:val="24"/>
        </w:rPr>
        <w:t>Request/Motion</w:t>
      </w:r>
      <w:r w:rsidR="00127C38">
        <w:rPr>
          <w:rFonts w:ascii="Times New Roman" w:eastAsia="Times New Roman" w:hAnsi="Times New Roman" w:cs="Times New Roman"/>
          <w:sz w:val="24"/>
          <w:szCs w:val="24"/>
        </w:rPr>
        <w:t xml:space="preserve">, despite </w:t>
      </w:r>
      <w:r w:rsidR="00984C56">
        <w:rPr>
          <w:rFonts w:ascii="Times New Roman" w:eastAsia="Times New Roman" w:hAnsi="Times New Roman" w:cs="Times New Roman"/>
          <w:sz w:val="24"/>
          <w:szCs w:val="24"/>
        </w:rPr>
        <w:t xml:space="preserve">agreement to extend her time to </w:t>
      </w:r>
      <w:r w:rsidR="00AB236C">
        <w:rPr>
          <w:rFonts w:ascii="Times New Roman" w:eastAsia="Times New Roman" w:hAnsi="Times New Roman" w:cs="Times New Roman"/>
          <w:sz w:val="24"/>
          <w:szCs w:val="24"/>
        </w:rPr>
        <w:t>do so.</w:t>
      </w:r>
      <w:r w:rsidR="00406511">
        <w:rPr>
          <w:rFonts w:ascii="Times New Roman" w:eastAsia="Times New Roman" w:hAnsi="Times New Roman" w:cs="Times New Roman"/>
          <w:sz w:val="24"/>
          <w:szCs w:val="24"/>
        </w:rPr>
        <w:t xml:space="preserve"> </w:t>
      </w:r>
    </w:p>
    <w:p w14:paraId="117368C1" w14:textId="77777777" w:rsidR="002C50FB" w:rsidRDefault="002C50FB" w:rsidP="00227121">
      <w:pPr>
        <w:shd w:val="clear" w:color="auto" w:fill="FFFFFF"/>
        <w:rPr>
          <w:rFonts w:ascii="Times New Roman" w:eastAsia="Times New Roman" w:hAnsi="Times New Roman" w:cs="Times New Roman"/>
          <w:sz w:val="24"/>
          <w:szCs w:val="24"/>
        </w:rPr>
      </w:pPr>
    </w:p>
    <w:p w14:paraId="3384E610" w14:textId="469811AB" w:rsidR="00296CAE" w:rsidRPr="003F0A5A" w:rsidRDefault="002C50FB" w:rsidP="0022712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Additionally, </w:t>
      </w:r>
      <w:r w:rsidR="007641EC">
        <w:rPr>
          <w:rFonts w:ascii="Times New Roman" w:eastAsia="Times New Roman" w:hAnsi="Times New Roman" w:cs="Times New Roman"/>
          <w:sz w:val="24"/>
          <w:szCs w:val="24"/>
        </w:rPr>
        <w:t xml:space="preserve">Parent has not challenged </w:t>
      </w:r>
      <w:r>
        <w:rPr>
          <w:rFonts w:ascii="Times New Roman" w:eastAsia="Times New Roman" w:hAnsi="Times New Roman" w:cs="Times New Roman"/>
          <w:sz w:val="24"/>
          <w:szCs w:val="24"/>
        </w:rPr>
        <w:t xml:space="preserve">Malden’s </w:t>
      </w:r>
      <w:r w:rsidR="007641EC">
        <w:rPr>
          <w:rFonts w:ascii="Times New Roman" w:eastAsia="Times New Roman" w:hAnsi="Times New Roman" w:cs="Times New Roman"/>
          <w:sz w:val="24"/>
          <w:szCs w:val="24"/>
        </w:rPr>
        <w:t xml:space="preserve">assertion </w:t>
      </w:r>
      <w:r>
        <w:rPr>
          <w:rFonts w:ascii="Times New Roman" w:eastAsia="Times New Roman" w:hAnsi="Times New Roman" w:cs="Times New Roman"/>
          <w:sz w:val="24"/>
          <w:szCs w:val="24"/>
        </w:rPr>
        <w:t>that, based on the Move-In Law</w:t>
      </w:r>
      <w:r>
        <w:rPr>
          <w:rStyle w:val="FootnoteReference"/>
          <w:rFonts w:ascii="Times New Roman" w:eastAsia="Times New Roman" w:hAnsi="Times New Roman" w:cs="Times New Roman"/>
          <w:sz w:val="24"/>
          <w:szCs w:val="24"/>
        </w:rPr>
        <w:footnoteReference w:id="19"/>
      </w:r>
      <w:r>
        <w:rPr>
          <w:rFonts w:ascii="Times New Roman" w:eastAsia="Times New Roman" w:hAnsi="Times New Roman" w:cs="Times New Roman"/>
          <w:sz w:val="24"/>
          <w:szCs w:val="24"/>
        </w:rPr>
        <w:t>, Student’s new district</w:t>
      </w:r>
      <w:r w:rsidR="008C4562">
        <w:rPr>
          <w:rFonts w:ascii="Times New Roman" w:eastAsia="Times New Roman" w:hAnsi="Times New Roman" w:cs="Times New Roman"/>
          <w:sz w:val="24"/>
          <w:szCs w:val="24"/>
        </w:rPr>
        <w:t xml:space="preserve"> of residence</w:t>
      </w:r>
      <w:r>
        <w:rPr>
          <w:rFonts w:ascii="Times New Roman" w:eastAsia="Times New Roman" w:hAnsi="Times New Roman" w:cs="Times New Roman"/>
          <w:sz w:val="24"/>
          <w:szCs w:val="24"/>
        </w:rPr>
        <w:t xml:space="preserve">, Peabody, became programmatically and fiscally responsible by July 1, 2019, beyond the two-year limitation period.  Thus, </w:t>
      </w:r>
      <w:r w:rsidR="007A64F2">
        <w:rPr>
          <w:rFonts w:ascii="Times New Roman" w:eastAsia="Times New Roman" w:hAnsi="Times New Roman" w:cs="Times New Roman"/>
          <w:sz w:val="24"/>
          <w:szCs w:val="24"/>
        </w:rPr>
        <w:t xml:space="preserve">Parent cannot </w:t>
      </w:r>
      <w:r w:rsidR="00305E4D">
        <w:rPr>
          <w:rFonts w:ascii="Times New Roman" w:eastAsia="Times New Roman" w:hAnsi="Times New Roman" w:cs="Times New Roman"/>
          <w:sz w:val="24"/>
          <w:szCs w:val="24"/>
        </w:rPr>
        <w:t>raise</w:t>
      </w:r>
      <w:r w:rsidR="00AB1564">
        <w:rPr>
          <w:rFonts w:ascii="Times New Roman" w:eastAsia="Times New Roman" w:hAnsi="Times New Roman" w:cs="Times New Roman"/>
          <w:sz w:val="24"/>
          <w:szCs w:val="24"/>
        </w:rPr>
        <w:t xml:space="preserve"> any factual allegations </w:t>
      </w:r>
      <w:r w:rsidR="001A2CD6">
        <w:rPr>
          <w:rFonts w:ascii="Times New Roman" w:eastAsia="Times New Roman" w:hAnsi="Times New Roman" w:cs="Times New Roman"/>
          <w:sz w:val="24"/>
          <w:szCs w:val="24"/>
        </w:rPr>
        <w:t xml:space="preserve">relating to the identification, evaluation, </w:t>
      </w:r>
      <w:r w:rsidR="00CE5218">
        <w:rPr>
          <w:rFonts w:ascii="Times New Roman" w:eastAsia="Times New Roman" w:hAnsi="Times New Roman" w:cs="Times New Roman"/>
          <w:sz w:val="24"/>
          <w:szCs w:val="24"/>
        </w:rPr>
        <w:t>educational program or educational placement of Student</w:t>
      </w:r>
      <w:r w:rsidR="00B62F42">
        <w:rPr>
          <w:rFonts w:ascii="Times New Roman" w:eastAsia="Times New Roman" w:hAnsi="Times New Roman" w:cs="Times New Roman"/>
          <w:sz w:val="24"/>
          <w:szCs w:val="24"/>
        </w:rPr>
        <w:t xml:space="preserve">, </w:t>
      </w:r>
      <w:r w:rsidR="00493361">
        <w:rPr>
          <w:rFonts w:ascii="Times New Roman" w:eastAsia="Times New Roman" w:hAnsi="Times New Roman" w:cs="Times New Roman"/>
          <w:sz w:val="24"/>
          <w:szCs w:val="24"/>
        </w:rPr>
        <w:t xml:space="preserve">that, </w:t>
      </w:r>
      <w:r w:rsidR="00B62F42">
        <w:rPr>
          <w:rFonts w:ascii="Times New Roman" w:eastAsia="Times New Roman" w:hAnsi="Times New Roman" w:cs="Times New Roman"/>
          <w:sz w:val="24"/>
          <w:szCs w:val="24"/>
        </w:rPr>
        <w:t>even if “seemingly incredible”</w:t>
      </w:r>
      <w:r w:rsidR="00CE5218">
        <w:rPr>
          <w:rFonts w:ascii="Times New Roman" w:eastAsia="Times New Roman" w:hAnsi="Times New Roman" w:cs="Times New Roman"/>
          <w:sz w:val="24"/>
          <w:szCs w:val="24"/>
        </w:rPr>
        <w:t>,</w:t>
      </w:r>
      <w:r w:rsidR="00B62F42">
        <w:rPr>
          <w:rFonts w:ascii="Times New Roman" w:eastAsia="Times New Roman" w:hAnsi="Times New Roman" w:cs="Times New Roman"/>
          <w:sz w:val="24"/>
          <w:szCs w:val="24"/>
        </w:rPr>
        <w:t xml:space="preserve"> could exist within the </w:t>
      </w:r>
      <w:r w:rsidR="009C6413">
        <w:rPr>
          <w:rFonts w:ascii="Times New Roman" w:eastAsia="Times New Roman" w:hAnsi="Times New Roman" w:cs="Times New Roman"/>
          <w:sz w:val="24"/>
          <w:szCs w:val="24"/>
        </w:rPr>
        <w:t xml:space="preserve">two years preceding the filing of the </w:t>
      </w:r>
      <w:r w:rsidR="009C6413" w:rsidRPr="004E0078">
        <w:rPr>
          <w:rFonts w:ascii="Times New Roman" w:eastAsia="Times New Roman" w:hAnsi="Times New Roman" w:cs="Times New Roman"/>
          <w:i/>
          <w:iCs/>
          <w:sz w:val="24"/>
          <w:szCs w:val="24"/>
        </w:rPr>
        <w:t>Hearing Request</w:t>
      </w:r>
      <w:r w:rsidR="009C6413">
        <w:rPr>
          <w:rFonts w:ascii="Times New Roman" w:eastAsia="Times New Roman" w:hAnsi="Times New Roman" w:cs="Times New Roman"/>
          <w:sz w:val="24"/>
          <w:szCs w:val="24"/>
        </w:rPr>
        <w:t xml:space="preserve">, </w:t>
      </w:r>
      <w:r w:rsidR="005B4FD4">
        <w:rPr>
          <w:rFonts w:ascii="Times New Roman" w:eastAsia="Times New Roman" w:hAnsi="Times New Roman" w:cs="Times New Roman"/>
          <w:sz w:val="24"/>
          <w:szCs w:val="24"/>
        </w:rPr>
        <w:t>for which Malden may be responsible</w:t>
      </w:r>
      <w:r w:rsidR="00CF2BEF">
        <w:rPr>
          <w:rStyle w:val="FootnoteReference"/>
          <w:rFonts w:ascii="Times New Roman" w:eastAsia="Times New Roman" w:hAnsi="Times New Roman" w:cs="Times New Roman"/>
          <w:sz w:val="24"/>
          <w:szCs w:val="24"/>
        </w:rPr>
        <w:footnoteReference w:id="20"/>
      </w:r>
      <w:r w:rsidR="00CF2BEF">
        <w:rPr>
          <w:rFonts w:ascii="Times New Roman" w:eastAsia="Times New Roman" w:hAnsi="Times New Roman" w:cs="Times New Roman"/>
          <w:sz w:val="24"/>
          <w:szCs w:val="24"/>
        </w:rPr>
        <w:t xml:space="preserve">.  </w:t>
      </w:r>
      <w:r w:rsidR="00406511">
        <w:rPr>
          <w:rFonts w:ascii="Times New Roman" w:eastAsia="Times New Roman" w:hAnsi="Times New Roman" w:cs="Times New Roman"/>
          <w:sz w:val="24"/>
          <w:szCs w:val="24"/>
        </w:rPr>
        <w:t>Given this,</w:t>
      </w:r>
      <w:r w:rsidR="007240B1">
        <w:rPr>
          <w:rFonts w:ascii="Times New Roman" w:eastAsia="Times New Roman" w:hAnsi="Times New Roman" w:cs="Times New Roman"/>
          <w:sz w:val="24"/>
          <w:szCs w:val="24"/>
        </w:rPr>
        <w:t xml:space="preserve"> </w:t>
      </w:r>
      <w:r w:rsidR="00296CAE" w:rsidRPr="003F0A5A">
        <w:rPr>
          <w:rFonts w:ascii="Times New Roman" w:eastAsia="Times New Roman" w:hAnsi="Times New Roman" w:cs="Times New Roman"/>
          <w:sz w:val="24"/>
          <w:szCs w:val="24"/>
        </w:rPr>
        <w:t xml:space="preserve">Malden’s </w:t>
      </w:r>
      <w:r w:rsidR="00406511">
        <w:rPr>
          <w:rFonts w:ascii="Times New Roman" w:eastAsia="Times New Roman" w:hAnsi="Times New Roman" w:cs="Times New Roman"/>
          <w:i/>
          <w:iCs/>
          <w:sz w:val="24"/>
          <w:szCs w:val="24"/>
        </w:rPr>
        <w:t>Request/</w:t>
      </w:r>
      <w:r w:rsidR="00296CAE" w:rsidRPr="003F0A5A">
        <w:rPr>
          <w:rFonts w:ascii="Times New Roman" w:eastAsia="Times New Roman" w:hAnsi="Times New Roman" w:cs="Times New Roman"/>
          <w:i/>
          <w:iCs/>
          <w:sz w:val="24"/>
          <w:szCs w:val="24"/>
        </w:rPr>
        <w:t>Motion</w:t>
      </w:r>
      <w:r w:rsidR="00296CAE" w:rsidRPr="003F0A5A">
        <w:rPr>
          <w:rFonts w:ascii="Times New Roman" w:eastAsia="Times New Roman" w:hAnsi="Times New Roman" w:cs="Times New Roman"/>
          <w:sz w:val="24"/>
          <w:szCs w:val="24"/>
        </w:rPr>
        <w:t xml:space="preserve"> is ALLOWED as to all claims in the </w:t>
      </w:r>
      <w:r w:rsidR="00296CAE" w:rsidRPr="00406511">
        <w:rPr>
          <w:rFonts w:ascii="Times New Roman" w:eastAsia="Times New Roman" w:hAnsi="Times New Roman" w:cs="Times New Roman"/>
          <w:i/>
          <w:iCs/>
          <w:sz w:val="24"/>
          <w:szCs w:val="24"/>
        </w:rPr>
        <w:t>Hearing Request</w:t>
      </w:r>
      <w:r w:rsidR="00296CAE" w:rsidRPr="003F0A5A">
        <w:rPr>
          <w:rFonts w:ascii="Times New Roman" w:eastAsia="Times New Roman" w:hAnsi="Times New Roman" w:cs="Times New Roman"/>
          <w:sz w:val="24"/>
          <w:szCs w:val="24"/>
        </w:rPr>
        <w:t xml:space="preserve">.    </w:t>
      </w:r>
    </w:p>
    <w:p w14:paraId="12E544C6" w14:textId="77777777" w:rsidR="003B54F7" w:rsidRDefault="003B54F7" w:rsidP="00227121">
      <w:pPr>
        <w:shd w:val="clear" w:color="auto" w:fill="FFFFFF"/>
        <w:jc w:val="center"/>
        <w:rPr>
          <w:rFonts w:ascii="Times New Roman" w:eastAsia="Times New Roman" w:hAnsi="Times New Roman" w:cs="Times New Roman"/>
          <w:b/>
          <w:bCs/>
          <w:sz w:val="24"/>
          <w:szCs w:val="24"/>
        </w:rPr>
      </w:pPr>
    </w:p>
    <w:p w14:paraId="0C7AC6C3" w14:textId="01D32B6E" w:rsidR="00296CAE" w:rsidRDefault="00296CAE" w:rsidP="00227121">
      <w:pPr>
        <w:shd w:val="clear" w:color="auto" w:fill="FFFFFF"/>
        <w:jc w:val="center"/>
        <w:rPr>
          <w:rFonts w:ascii="Times New Roman" w:eastAsia="Times New Roman" w:hAnsi="Times New Roman" w:cs="Times New Roman"/>
          <w:b/>
          <w:bCs/>
          <w:sz w:val="24"/>
          <w:szCs w:val="24"/>
        </w:rPr>
      </w:pPr>
      <w:r w:rsidRPr="003F0A5A">
        <w:rPr>
          <w:rFonts w:ascii="Times New Roman" w:eastAsia="Times New Roman" w:hAnsi="Times New Roman" w:cs="Times New Roman"/>
          <w:b/>
          <w:bCs/>
          <w:sz w:val="24"/>
          <w:szCs w:val="24"/>
        </w:rPr>
        <w:t>ORDER</w:t>
      </w:r>
    </w:p>
    <w:p w14:paraId="1D35DA5A" w14:textId="77777777" w:rsidR="00F036F8" w:rsidRPr="003F0A5A" w:rsidRDefault="00F036F8" w:rsidP="00227121">
      <w:pPr>
        <w:shd w:val="clear" w:color="auto" w:fill="FFFFFF"/>
        <w:jc w:val="center"/>
        <w:rPr>
          <w:rFonts w:ascii="Times New Roman" w:eastAsia="Times New Roman" w:hAnsi="Times New Roman" w:cs="Times New Roman"/>
          <w:sz w:val="24"/>
          <w:szCs w:val="24"/>
        </w:rPr>
      </w:pPr>
    </w:p>
    <w:p w14:paraId="788B4461" w14:textId="1495F4C9" w:rsidR="00296CAE" w:rsidRPr="007240B1" w:rsidRDefault="00296CAE" w:rsidP="007240B1">
      <w:pPr>
        <w:shd w:val="clear" w:color="auto" w:fill="FFFFFF"/>
        <w:rPr>
          <w:rFonts w:ascii="Times New Roman" w:eastAsia="Times New Roman" w:hAnsi="Times New Roman" w:cs="Times New Roman"/>
          <w:sz w:val="24"/>
          <w:szCs w:val="24"/>
        </w:rPr>
      </w:pPr>
      <w:r w:rsidRPr="007240B1">
        <w:rPr>
          <w:rFonts w:ascii="Times New Roman" w:eastAsia="Times New Roman" w:hAnsi="Times New Roman" w:cs="Times New Roman"/>
          <w:sz w:val="24"/>
          <w:szCs w:val="24"/>
        </w:rPr>
        <w:t xml:space="preserve">Malden’s </w:t>
      </w:r>
      <w:r w:rsidR="00F036F8" w:rsidRPr="007240B1">
        <w:rPr>
          <w:rFonts w:ascii="Times New Roman" w:eastAsia="Times New Roman" w:hAnsi="Times New Roman" w:cs="Times New Roman"/>
          <w:i/>
          <w:iCs/>
          <w:sz w:val="24"/>
          <w:szCs w:val="24"/>
        </w:rPr>
        <w:t>Response/Motion</w:t>
      </w:r>
      <w:r w:rsidR="00F036F8" w:rsidRPr="007240B1">
        <w:rPr>
          <w:rFonts w:ascii="Times New Roman" w:eastAsia="Times New Roman" w:hAnsi="Times New Roman" w:cs="Times New Roman"/>
          <w:sz w:val="24"/>
          <w:szCs w:val="24"/>
        </w:rPr>
        <w:t xml:space="preserve"> </w:t>
      </w:r>
      <w:r w:rsidRPr="007240B1">
        <w:rPr>
          <w:rFonts w:ascii="Times New Roman" w:eastAsia="Times New Roman" w:hAnsi="Times New Roman" w:cs="Times New Roman"/>
          <w:sz w:val="24"/>
          <w:szCs w:val="24"/>
        </w:rPr>
        <w:t>is </w:t>
      </w:r>
      <w:r w:rsidRPr="007240B1">
        <w:rPr>
          <w:rFonts w:ascii="Times New Roman" w:eastAsia="Times New Roman" w:hAnsi="Times New Roman" w:cs="Times New Roman"/>
          <w:b/>
          <w:bCs/>
          <w:sz w:val="24"/>
          <w:szCs w:val="24"/>
        </w:rPr>
        <w:t xml:space="preserve">ALLOWED </w:t>
      </w:r>
      <w:r w:rsidRPr="007240B1">
        <w:rPr>
          <w:rFonts w:ascii="Times New Roman" w:eastAsia="Times New Roman" w:hAnsi="Times New Roman" w:cs="Times New Roman"/>
          <w:sz w:val="24"/>
          <w:szCs w:val="24"/>
        </w:rPr>
        <w:t xml:space="preserve">as to all claims in the </w:t>
      </w:r>
      <w:r w:rsidRPr="007240B1">
        <w:rPr>
          <w:rFonts w:ascii="Times New Roman" w:eastAsia="Times New Roman" w:hAnsi="Times New Roman" w:cs="Times New Roman"/>
          <w:i/>
          <w:iCs/>
          <w:sz w:val="24"/>
          <w:szCs w:val="24"/>
        </w:rPr>
        <w:t>Hearing Request</w:t>
      </w:r>
      <w:r w:rsidRPr="007240B1">
        <w:rPr>
          <w:rFonts w:ascii="Times New Roman" w:eastAsia="Times New Roman" w:hAnsi="Times New Roman" w:cs="Times New Roman"/>
          <w:sz w:val="24"/>
          <w:szCs w:val="24"/>
        </w:rPr>
        <w:t>,</w:t>
      </w:r>
      <w:r w:rsidRPr="007240B1">
        <w:rPr>
          <w:rFonts w:ascii="Times New Roman" w:eastAsia="Times New Roman" w:hAnsi="Times New Roman" w:cs="Times New Roman"/>
          <w:i/>
          <w:iCs/>
          <w:sz w:val="24"/>
          <w:szCs w:val="24"/>
        </w:rPr>
        <w:t xml:space="preserve"> </w:t>
      </w:r>
      <w:r w:rsidRPr="007240B1">
        <w:rPr>
          <w:rFonts w:ascii="Times New Roman" w:eastAsia="Times New Roman" w:hAnsi="Times New Roman" w:cs="Times New Roman"/>
          <w:sz w:val="24"/>
          <w:szCs w:val="24"/>
        </w:rPr>
        <w:t xml:space="preserve">and this matter is hereby </w:t>
      </w:r>
      <w:r w:rsidRPr="007240B1">
        <w:rPr>
          <w:rFonts w:ascii="Times New Roman" w:eastAsia="Times New Roman" w:hAnsi="Times New Roman" w:cs="Times New Roman"/>
          <w:b/>
          <w:bCs/>
          <w:sz w:val="24"/>
          <w:szCs w:val="24"/>
        </w:rPr>
        <w:t>DISMISSED with prejudice</w:t>
      </w:r>
      <w:r w:rsidRPr="007240B1">
        <w:rPr>
          <w:rFonts w:ascii="Times New Roman" w:eastAsia="Times New Roman" w:hAnsi="Times New Roman" w:cs="Times New Roman"/>
          <w:sz w:val="24"/>
          <w:szCs w:val="24"/>
        </w:rPr>
        <w:t>.</w:t>
      </w:r>
    </w:p>
    <w:p w14:paraId="48929780" w14:textId="6BB59DC6" w:rsidR="003B54F7" w:rsidRDefault="003B54F7" w:rsidP="00227121">
      <w:pPr>
        <w:shd w:val="clear" w:color="auto" w:fill="FFFFFF"/>
        <w:rPr>
          <w:rFonts w:ascii="Times New Roman" w:eastAsia="Times New Roman" w:hAnsi="Times New Roman" w:cs="Times New Roman"/>
          <w:sz w:val="24"/>
          <w:szCs w:val="24"/>
        </w:rPr>
      </w:pPr>
    </w:p>
    <w:p w14:paraId="31729A29" w14:textId="77777777" w:rsidR="007240B1" w:rsidRDefault="007240B1" w:rsidP="00227121">
      <w:pPr>
        <w:shd w:val="clear" w:color="auto" w:fill="FFFFFF"/>
        <w:rPr>
          <w:rFonts w:ascii="Times New Roman" w:eastAsia="Times New Roman" w:hAnsi="Times New Roman" w:cs="Times New Roman"/>
          <w:sz w:val="24"/>
          <w:szCs w:val="24"/>
        </w:rPr>
      </w:pPr>
    </w:p>
    <w:p w14:paraId="5B776D0D" w14:textId="56B067FF" w:rsidR="00296CAE" w:rsidRPr="003F0A5A" w:rsidRDefault="00296CAE" w:rsidP="00227121">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 xml:space="preserve">By the Hearing Officer, </w:t>
      </w:r>
    </w:p>
    <w:p w14:paraId="0689272C" w14:textId="5A7BC8A7" w:rsidR="003B54F7" w:rsidRDefault="003B54F7" w:rsidP="00227121">
      <w:pPr>
        <w:shd w:val="clear" w:color="auto" w:fill="FFFFFF"/>
        <w:rPr>
          <w:rFonts w:ascii="Times New Roman" w:eastAsia="Times New Roman" w:hAnsi="Times New Roman" w:cs="Times New Roman"/>
          <w:sz w:val="24"/>
          <w:szCs w:val="24"/>
          <w:u w:val="single"/>
        </w:rPr>
      </w:pPr>
    </w:p>
    <w:p w14:paraId="59CDA3A2" w14:textId="77777777" w:rsidR="00C34A2A" w:rsidRDefault="00C34A2A" w:rsidP="00227121">
      <w:pPr>
        <w:shd w:val="clear" w:color="auto" w:fill="FFFFFF"/>
        <w:rPr>
          <w:rFonts w:ascii="Times New Roman" w:eastAsia="Times New Roman" w:hAnsi="Times New Roman" w:cs="Times New Roman"/>
          <w:sz w:val="24"/>
          <w:szCs w:val="24"/>
          <w:u w:val="single"/>
        </w:rPr>
      </w:pPr>
    </w:p>
    <w:p w14:paraId="0F9F6B7C" w14:textId="55C876FA" w:rsidR="00296CAE" w:rsidRPr="003F0A5A" w:rsidRDefault="00296CAE" w:rsidP="00227121">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u w:val="single"/>
        </w:rPr>
        <w:t>/s/ </w:t>
      </w:r>
      <w:r w:rsidRPr="003F0A5A">
        <w:rPr>
          <w:rFonts w:ascii="Times New Roman" w:eastAsia="Times New Roman" w:hAnsi="Times New Roman" w:cs="Times New Roman"/>
          <w:i/>
          <w:iCs/>
          <w:sz w:val="24"/>
          <w:szCs w:val="24"/>
          <w:u w:val="single"/>
        </w:rPr>
        <w:t>Marguerite M. Mitchell</w:t>
      </w:r>
      <w:r w:rsidRPr="003F0A5A">
        <w:rPr>
          <w:rFonts w:ascii="Times New Roman" w:eastAsia="Times New Roman" w:hAnsi="Times New Roman" w:cs="Times New Roman"/>
          <w:sz w:val="24"/>
          <w:szCs w:val="24"/>
          <w:u w:val="single"/>
        </w:rPr>
        <w:br/>
      </w:r>
      <w:r w:rsidRPr="003F0A5A">
        <w:rPr>
          <w:rFonts w:ascii="Times New Roman" w:eastAsia="Times New Roman" w:hAnsi="Times New Roman" w:cs="Times New Roman"/>
          <w:sz w:val="24"/>
          <w:szCs w:val="24"/>
        </w:rPr>
        <w:t>Marguerite M. Mitchell</w:t>
      </w:r>
    </w:p>
    <w:p w14:paraId="004E64C0" w14:textId="77777777" w:rsidR="00C34A2A" w:rsidRDefault="00C34A2A" w:rsidP="00227121">
      <w:pPr>
        <w:shd w:val="clear" w:color="auto" w:fill="FFFFFF"/>
        <w:rPr>
          <w:rFonts w:ascii="Times New Roman" w:eastAsia="Times New Roman" w:hAnsi="Times New Roman" w:cs="Times New Roman"/>
          <w:sz w:val="24"/>
          <w:szCs w:val="24"/>
        </w:rPr>
      </w:pPr>
    </w:p>
    <w:p w14:paraId="71EB2CC4" w14:textId="4E6A84CD" w:rsidR="00CB7028" w:rsidRDefault="00296CAE" w:rsidP="00227121">
      <w:pPr>
        <w:shd w:val="clear" w:color="auto" w:fill="FFFFFF"/>
        <w:rPr>
          <w:rFonts w:ascii="Times New Roman" w:eastAsia="Times New Roman" w:hAnsi="Times New Roman" w:cs="Times New Roman"/>
          <w:sz w:val="24"/>
          <w:szCs w:val="24"/>
        </w:rPr>
      </w:pPr>
      <w:r w:rsidRPr="00C34A2A">
        <w:rPr>
          <w:rFonts w:ascii="Times New Roman" w:eastAsia="Times New Roman" w:hAnsi="Times New Roman" w:cs="Times New Roman"/>
          <w:sz w:val="24"/>
          <w:szCs w:val="24"/>
        </w:rPr>
        <w:t>Date: March 2</w:t>
      </w:r>
      <w:r w:rsidR="007240B1" w:rsidRPr="00C34A2A">
        <w:rPr>
          <w:rFonts w:ascii="Times New Roman" w:eastAsia="Times New Roman" w:hAnsi="Times New Roman" w:cs="Times New Roman"/>
          <w:sz w:val="24"/>
          <w:szCs w:val="24"/>
        </w:rPr>
        <w:t>8</w:t>
      </w:r>
      <w:r w:rsidRPr="00C34A2A">
        <w:rPr>
          <w:rFonts w:ascii="Times New Roman" w:eastAsia="Times New Roman" w:hAnsi="Times New Roman" w:cs="Times New Roman"/>
          <w:sz w:val="24"/>
          <w:szCs w:val="24"/>
        </w:rPr>
        <w:t>, 2022</w:t>
      </w:r>
    </w:p>
    <w:p w14:paraId="67758E54" w14:textId="77777777" w:rsidR="00CB7028" w:rsidRDefault="00CB702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AF4ED1" w14:textId="77777777" w:rsidR="00185E01" w:rsidRPr="00185E01" w:rsidRDefault="00185E01" w:rsidP="00185E01">
      <w:pPr>
        <w:spacing w:line="259" w:lineRule="auto"/>
        <w:jc w:val="center"/>
        <w:rPr>
          <w:rFonts w:ascii="Times New Roman" w:eastAsia="Times New Roman" w:hAnsi="Times New Roman" w:cs="Times New Roman"/>
          <w:color w:val="000000"/>
          <w:sz w:val="24"/>
          <w:szCs w:val="24"/>
        </w:rPr>
      </w:pPr>
      <w:r w:rsidRPr="00185E01">
        <w:rPr>
          <w:rFonts w:ascii="Times New Roman" w:eastAsia="Times New Roman" w:hAnsi="Times New Roman" w:cs="Times New Roman"/>
          <w:noProof/>
          <w:color w:val="000000"/>
          <w:sz w:val="24"/>
          <w:szCs w:val="24"/>
        </w:rPr>
        <w:lastRenderedPageBreak/>
        <w:drawing>
          <wp:inline distT="0" distB="0" distL="0" distR="0" wp14:anchorId="7238ADC8" wp14:editId="036FC75F">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8"/>
                    <a:stretch>
                      <a:fillRect/>
                    </a:stretch>
                  </pic:blipFill>
                  <pic:spPr>
                    <a:xfrm>
                      <a:off x="0" y="0"/>
                      <a:ext cx="12192" cy="9147"/>
                    </a:xfrm>
                    <a:prstGeom prst="rect">
                      <a:avLst/>
                    </a:prstGeom>
                  </pic:spPr>
                </pic:pic>
              </a:graphicData>
            </a:graphic>
          </wp:inline>
        </w:drawing>
      </w:r>
      <w:r w:rsidRPr="00185E01">
        <w:rPr>
          <w:rFonts w:ascii="Times New Roman" w:eastAsia="Times New Roman" w:hAnsi="Times New Roman" w:cs="Times New Roman"/>
          <w:color w:val="000000"/>
          <w:sz w:val="24"/>
          <w:szCs w:val="24"/>
        </w:rPr>
        <w:t>COMMONWEALTH OF MASSACHUSETTS</w:t>
      </w:r>
    </w:p>
    <w:p w14:paraId="106F98FF" w14:textId="77777777" w:rsidR="00185E01" w:rsidRPr="00185E01" w:rsidRDefault="00185E01" w:rsidP="00185E01">
      <w:pPr>
        <w:spacing w:after="591" w:line="259" w:lineRule="auto"/>
        <w:ind w:right="250"/>
        <w:jc w:val="center"/>
        <w:rPr>
          <w:rFonts w:ascii="Times New Roman" w:eastAsia="Times New Roman" w:hAnsi="Times New Roman" w:cs="Times New Roman"/>
          <w:color w:val="000000"/>
          <w:sz w:val="24"/>
          <w:szCs w:val="24"/>
        </w:rPr>
      </w:pPr>
      <w:r w:rsidRPr="00185E01">
        <w:rPr>
          <w:rFonts w:ascii="Times New Roman" w:eastAsia="Times New Roman" w:hAnsi="Times New Roman" w:cs="Times New Roman"/>
          <w:noProof/>
          <w:color w:val="000000"/>
          <w:sz w:val="24"/>
          <w:szCs w:val="24"/>
        </w:rPr>
        <w:drawing>
          <wp:inline distT="0" distB="0" distL="0" distR="0" wp14:anchorId="724048C6" wp14:editId="2734B5CA">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9"/>
                    <a:stretch>
                      <a:fillRect/>
                    </a:stretch>
                  </pic:blipFill>
                  <pic:spPr>
                    <a:xfrm>
                      <a:off x="0" y="0"/>
                      <a:ext cx="9144" cy="9147"/>
                    </a:xfrm>
                    <a:prstGeom prst="rect">
                      <a:avLst/>
                    </a:prstGeom>
                  </pic:spPr>
                </pic:pic>
              </a:graphicData>
            </a:graphic>
          </wp:inline>
        </w:drawing>
      </w:r>
      <w:r w:rsidRPr="00185E01">
        <w:rPr>
          <w:rFonts w:ascii="Times New Roman" w:eastAsia="Times New Roman" w:hAnsi="Times New Roman" w:cs="Times New Roman"/>
          <w:color w:val="000000"/>
          <w:sz w:val="24"/>
          <w:szCs w:val="24"/>
        </w:rPr>
        <w:t>BUREAU OF SPECIAL EDUCATION APPEALS</w:t>
      </w:r>
    </w:p>
    <w:p w14:paraId="244D25DC" w14:textId="77777777" w:rsidR="00185E01" w:rsidRPr="00185E01" w:rsidRDefault="00185E01" w:rsidP="00185E01">
      <w:pPr>
        <w:tabs>
          <w:tab w:val="center" w:pos="440"/>
          <w:tab w:val="center" w:pos="4627"/>
        </w:tabs>
        <w:spacing w:after="533" w:line="259" w:lineRule="auto"/>
        <w:jc w:val="center"/>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u w:val="single" w:color="000000"/>
        </w:rPr>
        <w:t xml:space="preserve">EFFECT OF FINAL BSEA ACTIONS AND </w:t>
      </w:r>
      <w:r w:rsidRPr="00185E01">
        <w:rPr>
          <w:rFonts w:ascii="Times New Roman" w:eastAsia="Times New Roman" w:hAnsi="Times New Roman" w:cs="Times New Roman"/>
          <w:noProof/>
          <w:color w:val="000000"/>
          <w:sz w:val="24"/>
          <w:szCs w:val="24"/>
        </w:rPr>
        <w:drawing>
          <wp:inline distT="0" distB="0" distL="0" distR="0" wp14:anchorId="2C2EC28D" wp14:editId="18EA6F98">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0"/>
                    <a:stretch>
                      <a:fillRect/>
                    </a:stretch>
                  </pic:blipFill>
                  <pic:spPr>
                    <a:xfrm>
                      <a:off x="0" y="0"/>
                      <a:ext cx="9144" cy="9147"/>
                    </a:xfrm>
                    <a:prstGeom prst="rect">
                      <a:avLst/>
                    </a:prstGeom>
                  </pic:spPr>
                </pic:pic>
              </a:graphicData>
            </a:graphic>
          </wp:inline>
        </w:drawing>
      </w:r>
      <w:r w:rsidRPr="00185E01">
        <w:rPr>
          <w:rFonts w:ascii="Times New Roman" w:eastAsia="Times New Roman" w:hAnsi="Times New Roman" w:cs="Times New Roman"/>
          <w:color w:val="000000"/>
          <w:sz w:val="24"/>
          <w:szCs w:val="24"/>
          <w:u w:val="single" w:color="000000"/>
        </w:rPr>
        <w:t>RIGHTS OF APPEAL</w:t>
      </w:r>
    </w:p>
    <w:p w14:paraId="3EB23DBE" w14:textId="77777777" w:rsidR="00185E01" w:rsidRPr="00185E01" w:rsidRDefault="00185E01" w:rsidP="00185E01">
      <w:pPr>
        <w:keepNext/>
        <w:keepLines/>
        <w:spacing w:after="261" w:line="259" w:lineRule="auto"/>
        <w:ind w:left="38"/>
        <w:outlineLvl w:val="0"/>
        <w:rPr>
          <w:rFonts w:ascii="Times New Roman" w:eastAsia="Times New Roman" w:hAnsi="Times New Roman" w:cs="Times New Roman"/>
          <w:color w:val="000000"/>
          <w:sz w:val="24"/>
          <w:szCs w:val="24"/>
          <w:u w:val="single" w:color="000000"/>
        </w:rPr>
      </w:pPr>
      <w:r w:rsidRPr="00185E01">
        <w:rPr>
          <w:rFonts w:ascii="Times New Roman" w:eastAsia="Times New Roman" w:hAnsi="Times New Roman" w:cs="Times New Roman"/>
          <w:color w:val="000000"/>
          <w:sz w:val="24"/>
          <w:szCs w:val="24"/>
          <w:u w:val="single" w:color="000000"/>
        </w:rPr>
        <w:t>Effect of BSEA Decision, Dismissal with Prejudice and Allowance of Motion for Summary Judgment</w:t>
      </w:r>
    </w:p>
    <w:p w14:paraId="56F76D2D" w14:textId="77777777" w:rsidR="00185E01" w:rsidRPr="00185E01" w:rsidRDefault="00185E01" w:rsidP="00185E01">
      <w:pPr>
        <w:spacing w:after="312" w:line="250" w:lineRule="auto"/>
        <w:ind w:left="43" w:firstLine="5"/>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6D24384D" w14:textId="77777777" w:rsidR="00185E01" w:rsidRPr="00185E01" w:rsidRDefault="00185E01" w:rsidP="00185E01">
      <w:pPr>
        <w:spacing w:after="312" w:line="250" w:lineRule="auto"/>
        <w:ind w:left="43" w:firstLine="5"/>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Accordingly</w:t>
      </w:r>
      <w:r w:rsidRPr="00185E01">
        <w:rPr>
          <w:rFonts w:ascii="Times New Roman" w:eastAsia="Times New Roman" w:hAnsi="Times New Roman" w:cs="Times New Roman"/>
          <w:strike/>
          <w:color w:val="000000"/>
          <w:sz w:val="24"/>
          <w:szCs w:val="24"/>
        </w:rPr>
        <w:t>,</w:t>
      </w:r>
      <w:r w:rsidRPr="00185E01">
        <w:rPr>
          <w:rFonts w:ascii="Times New Roman" w:eastAsia="Times New Roman" w:hAnsi="Times New Roman" w:cs="Times New Roman"/>
          <w:color w:val="000000"/>
          <w:sz w:val="24"/>
          <w:szCs w:val="24"/>
        </w:rPr>
        <w:t xml:space="preserve"> the Bureau cannot permit motions to reconsider or to re-open either a Bureau decision or the Rulings set forth above once they have issued. They are final subject only to judicial (court) review.</w:t>
      </w:r>
    </w:p>
    <w:p w14:paraId="2190E3D3" w14:textId="77777777" w:rsidR="00185E01" w:rsidRPr="00185E01" w:rsidRDefault="00185E01" w:rsidP="00185E01">
      <w:pPr>
        <w:spacing w:after="292" w:line="243" w:lineRule="auto"/>
        <w:ind w:left="19" w:right="62"/>
        <w:jc w:val="both"/>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4E80E740" w14:textId="77777777" w:rsidR="00185E01" w:rsidRPr="00185E01" w:rsidRDefault="00185E01" w:rsidP="00185E01">
      <w:pPr>
        <w:spacing w:after="292" w:line="243" w:lineRule="auto"/>
        <w:ind w:left="19" w:right="62"/>
        <w:jc w:val="both"/>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423454AC" w14:textId="77777777" w:rsidR="00185E01" w:rsidRPr="00185E01" w:rsidRDefault="00185E01" w:rsidP="00185E01">
      <w:pPr>
        <w:spacing w:after="292" w:line="243" w:lineRule="auto"/>
        <w:ind w:left="19" w:right="62"/>
        <w:jc w:val="both"/>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 xml:space="preserve">Therefore, where the Bureau has ordered the public school to place the child in a new placement, and the parents or guardian agree with that order, the public school shall immediately implement the placement ordered by the Bureau.  </w:t>
      </w:r>
      <w:r w:rsidRPr="00185E01">
        <w:rPr>
          <w:rFonts w:ascii="Times New Roman" w:eastAsia="Times New Roman" w:hAnsi="Times New Roman" w:cs="Times New Roman"/>
          <w:i/>
          <w:iCs/>
          <w:color w:val="000000"/>
          <w:sz w:val="24"/>
          <w:szCs w:val="24"/>
        </w:rPr>
        <w:t>School Committee of Burlington v. Massachusetts Department of Education</w:t>
      </w:r>
      <w:r w:rsidRPr="00185E01">
        <w:rPr>
          <w:rFonts w:ascii="Times New Roman" w:eastAsia="Times New Roman" w:hAnsi="Times New Roman" w:cs="Times New Roman"/>
          <w:color w:val="000000"/>
          <w:sz w:val="24"/>
          <w:szCs w:val="24"/>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185E01">
        <w:rPr>
          <w:rFonts w:ascii="Times New Roman" w:eastAsia="Times New Roman" w:hAnsi="Times New Roman" w:cs="Times New Roman"/>
          <w:i/>
          <w:iCs/>
          <w:color w:val="000000"/>
          <w:sz w:val="24"/>
          <w:szCs w:val="24"/>
        </w:rPr>
        <w:t>Honig v. Doe</w:t>
      </w:r>
      <w:r w:rsidRPr="00185E01">
        <w:rPr>
          <w:rFonts w:ascii="Times New Roman" w:eastAsia="Times New Roman" w:hAnsi="Times New Roman" w:cs="Times New Roman"/>
          <w:color w:val="000000"/>
          <w:sz w:val="24"/>
          <w:szCs w:val="24"/>
        </w:rPr>
        <w:t xml:space="preserve">, 484 U.S. 305 (1988); </w:t>
      </w:r>
      <w:r w:rsidRPr="00185E01">
        <w:rPr>
          <w:rFonts w:ascii="Times New Roman" w:eastAsia="Times New Roman" w:hAnsi="Times New Roman" w:cs="Times New Roman"/>
          <w:i/>
          <w:iCs/>
          <w:color w:val="000000"/>
          <w:sz w:val="24"/>
          <w:szCs w:val="24"/>
        </w:rPr>
        <w:t>Doe v. Brookline</w:t>
      </w:r>
      <w:r w:rsidRPr="00185E01">
        <w:rPr>
          <w:rFonts w:ascii="Times New Roman" w:eastAsia="Times New Roman" w:hAnsi="Times New Roman" w:cs="Times New Roman"/>
          <w:color w:val="000000"/>
          <w:sz w:val="24"/>
          <w:szCs w:val="24"/>
        </w:rPr>
        <w:t>, 722 F.2d 910 (1</w:t>
      </w:r>
      <w:r w:rsidRPr="00185E01">
        <w:rPr>
          <w:rFonts w:ascii="Times New Roman" w:eastAsia="Times New Roman" w:hAnsi="Times New Roman" w:cs="Times New Roman"/>
          <w:color w:val="000000"/>
          <w:sz w:val="24"/>
          <w:szCs w:val="24"/>
          <w:vertAlign w:val="superscript"/>
        </w:rPr>
        <w:t>st</w:t>
      </w:r>
      <w:r w:rsidRPr="00185E01">
        <w:rPr>
          <w:rFonts w:ascii="Times New Roman" w:eastAsia="Times New Roman" w:hAnsi="Times New Roman" w:cs="Times New Roman"/>
          <w:color w:val="000000"/>
          <w:sz w:val="24"/>
          <w:szCs w:val="24"/>
        </w:rPr>
        <w:t xml:space="preserve"> Cir. 1983).</w:t>
      </w:r>
    </w:p>
    <w:p w14:paraId="6CA11CD4" w14:textId="77777777" w:rsidR="00185E01" w:rsidRPr="00185E01" w:rsidRDefault="00185E01" w:rsidP="00185E01">
      <w:pPr>
        <w:keepNext/>
        <w:keepLines/>
        <w:spacing w:after="252" w:line="259" w:lineRule="auto"/>
        <w:ind w:left="96" w:hanging="10"/>
        <w:outlineLvl w:val="0"/>
        <w:rPr>
          <w:rFonts w:ascii="Times New Roman" w:eastAsia="Times New Roman" w:hAnsi="Times New Roman" w:cs="Times New Roman"/>
          <w:color w:val="000000"/>
          <w:sz w:val="24"/>
          <w:szCs w:val="24"/>
          <w:u w:val="single" w:color="000000"/>
        </w:rPr>
      </w:pPr>
      <w:r w:rsidRPr="00185E01">
        <w:rPr>
          <w:rFonts w:ascii="Times New Roman" w:eastAsia="Times New Roman" w:hAnsi="Times New Roman" w:cs="Times New Roman"/>
          <w:color w:val="000000"/>
          <w:sz w:val="24"/>
          <w:szCs w:val="24"/>
          <w:u w:val="single" w:color="000000"/>
        </w:rPr>
        <w:t>Compliance</w:t>
      </w:r>
    </w:p>
    <w:p w14:paraId="7BDBE2C1" w14:textId="77777777" w:rsidR="00185E01" w:rsidRPr="00185E01" w:rsidRDefault="00185E01" w:rsidP="00185E01">
      <w:pPr>
        <w:spacing w:after="292" w:line="243" w:lineRule="auto"/>
        <w:ind w:left="19" w:right="172"/>
        <w:jc w:val="both"/>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 xml:space="preserve">A party contending that a Bureau of Special Education Appeals decision is not being implemented may file a motion with the Bureau of Special Education Appeals contending that </w:t>
      </w:r>
      <w:r w:rsidRPr="00185E01">
        <w:rPr>
          <w:rFonts w:ascii="Times New Roman" w:eastAsia="Times New Roman" w:hAnsi="Times New Roman" w:cs="Times New Roman"/>
          <w:color w:val="000000"/>
          <w:sz w:val="24"/>
          <w:szCs w:val="24"/>
        </w:rPr>
        <w:lastRenderedPageBreak/>
        <w:t>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3D96FC20" w14:textId="77777777" w:rsidR="00185E01" w:rsidRPr="00185E01" w:rsidRDefault="00185E01" w:rsidP="00185E01">
      <w:pPr>
        <w:keepNext/>
        <w:keepLines/>
        <w:spacing w:after="252" w:line="259" w:lineRule="auto"/>
        <w:ind w:left="-5" w:hanging="10"/>
        <w:outlineLvl w:val="0"/>
        <w:rPr>
          <w:rFonts w:ascii="Times New Roman" w:eastAsia="Times New Roman" w:hAnsi="Times New Roman" w:cs="Times New Roman"/>
          <w:color w:val="000000"/>
          <w:sz w:val="24"/>
          <w:szCs w:val="24"/>
          <w:u w:val="single" w:color="000000"/>
        </w:rPr>
      </w:pPr>
      <w:r w:rsidRPr="00185E01">
        <w:rPr>
          <w:rFonts w:ascii="Times New Roman" w:eastAsia="Times New Roman" w:hAnsi="Times New Roman" w:cs="Times New Roman"/>
          <w:color w:val="000000"/>
          <w:sz w:val="24"/>
          <w:szCs w:val="24"/>
          <w:u w:val="single" w:color="000000"/>
        </w:rPr>
        <w:t>Rights of Appeal</w:t>
      </w:r>
    </w:p>
    <w:p w14:paraId="645334C2" w14:textId="77777777" w:rsidR="00185E01" w:rsidRPr="00185E01" w:rsidRDefault="00185E01" w:rsidP="00185E01">
      <w:pPr>
        <w:spacing w:after="292" w:line="243" w:lineRule="auto"/>
        <w:ind w:left="19" w:right="172"/>
        <w:jc w:val="both"/>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Any party aggrieved by a final agency action by the Bureau of Special Education Appeals may file a complaint for review in the state superior court of competent jurisdiction or in the District Court of the United States for Massachusetts. 20 U.S.C. s. 1415(i)(2).</w:t>
      </w:r>
    </w:p>
    <w:p w14:paraId="671BEE36" w14:textId="77777777" w:rsidR="00185E01" w:rsidRPr="00185E01" w:rsidRDefault="00185E01" w:rsidP="00185E01">
      <w:pPr>
        <w:spacing w:after="566" w:line="243" w:lineRule="auto"/>
        <w:ind w:left="19" w:right="172"/>
        <w:jc w:val="both"/>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An appeal of a Bureau decision to state superior court or to federal district court must be filed within ninety (90) days from the date of the decision. 20 U.S.C. s. 1415(i)(2)(B).</w:t>
      </w:r>
    </w:p>
    <w:p w14:paraId="358E717F" w14:textId="77777777" w:rsidR="00185E01" w:rsidRPr="00185E01" w:rsidRDefault="00185E01" w:rsidP="00185E01">
      <w:pPr>
        <w:keepNext/>
        <w:keepLines/>
        <w:spacing w:after="252" w:line="259" w:lineRule="auto"/>
        <w:ind w:left="-5" w:hanging="10"/>
        <w:outlineLvl w:val="0"/>
        <w:rPr>
          <w:rFonts w:ascii="Times New Roman" w:eastAsia="Times New Roman" w:hAnsi="Times New Roman" w:cs="Times New Roman"/>
          <w:color w:val="000000"/>
          <w:sz w:val="24"/>
          <w:szCs w:val="24"/>
          <w:u w:val="single" w:color="000000"/>
        </w:rPr>
      </w:pPr>
      <w:r w:rsidRPr="00185E01">
        <w:rPr>
          <w:rFonts w:ascii="Times New Roman" w:eastAsia="Times New Roman" w:hAnsi="Times New Roman" w:cs="Times New Roman"/>
          <w:color w:val="000000"/>
          <w:sz w:val="24"/>
          <w:szCs w:val="24"/>
          <w:u w:val="single" w:color="000000"/>
        </w:rPr>
        <w:t>Confidentiality</w:t>
      </w:r>
    </w:p>
    <w:p w14:paraId="34A4F3D9" w14:textId="77777777" w:rsidR="00185E01" w:rsidRPr="00185E01" w:rsidRDefault="00185E01" w:rsidP="00185E01">
      <w:pPr>
        <w:spacing w:line="243" w:lineRule="auto"/>
        <w:ind w:left="19" w:right="34"/>
        <w:jc w:val="both"/>
        <w:rPr>
          <w:rFonts w:ascii="Times New Roman" w:eastAsia="Times New Roman" w:hAnsi="Times New Roman" w:cs="Times New Roman"/>
          <w:i/>
          <w:iCs/>
          <w:color w:val="000000"/>
          <w:sz w:val="24"/>
          <w:szCs w:val="24"/>
        </w:rPr>
      </w:pPr>
      <w:r w:rsidRPr="00185E01">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0" wp14:anchorId="74C7E1EC" wp14:editId="3333146B">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1"/>
                    <a:stretch>
                      <a:fillRect/>
                    </a:stretch>
                  </pic:blipFill>
                  <pic:spPr>
                    <a:xfrm>
                      <a:off x="0" y="0"/>
                      <a:ext cx="12192" cy="12196"/>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0288" behindDoc="0" locked="0" layoutInCell="1" allowOverlap="0" wp14:anchorId="49A3261C" wp14:editId="12F9E6D4">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2"/>
                    <a:stretch>
                      <a:fillRect/>
                    </a:stretch>
                  </pic:blipFill>
                  <pic:spPr>
                    <a:xfrm>
                      <a:off x="0" y="0"/>
                      <a:ext cx="9144" cy="9147"/>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1312" behindDoc="0" locked="0" layoutInCell="1" allowOverlap="0" wp14:anchorId="181900A6" wp14:editId="123AAB89">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3"/>
                    <a:stretch>
                      <a:fillRect/>
                    </a:stretch>
                  </pic:blipFill>
                  <pic:spPr>
                    <a:xfrm>
                      <a:off x="0" y="0"/>
                      <a:ext cx="9144" cy="9147"/>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2336" behindDoc="0" locked="0" layoutInCell="1" allowOverlap="0" wp14:anchorId="6FD36854" wp14:editId="1C565C3F">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4"/>
                    <a:stretch>
                      <a:fillRect/>
                    </a:stretch>
                  </pic:blipFill>
                  <pic:spPr>
                    <a:xfrm>
                      <a:off x="0" y="0"/>
                      <a:ext cx="9144" cy="12196"/>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3360" behindDoc="0" locked="0" layoutInCell="1" allowOverlap="0" wp14:anchorId="381DAEEF" wp14:editId="65CCDCB1">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5"/>
                    <a:stretch>
                      <a:fillRect/>
                    </a:stretch>
                  </pic:blipFill>
                  <pic:spPr>
                    <a:xfrm>
                      <a:off x="0" y="0"/>
                      <a:ext cx="15240" cy="12196"/>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4384" behindDoc="0" locked="0" layoutInCell="1" allowOverlap="0" wp14:anchorId="7F3B5248" wp14:editId="21D08826">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6"/>
                    <a:stretch>
                      <a:fillRect/>
                    </a:stretch>
                  </pic:blipFill>
                  <pic:spPr>
                    <a:xfrm>
                      <a:off x="0" y="0"/>
                      <a:ext cx="9144" cy="9147"/>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5408" behindDoc="0" locked="0" layoutInCell="1" allowOverlap="0" wp14:anchorId="5803D42C" wp14:editId="25EF88EF">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7"/>
                    <a:stretch>
                      <a:fillRect/>
                    </a:stretch>
                  </pic:blipFill>
                  <pic:spPr>
                    <a:xfrm>
                      <a:off x="0" y="0"/>
                      <a:ext cx="9144" cy="9147"/>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6432" behindDoc="0" locked="0" layoutInCell="1" allowOverlap="0" wp14:anchorId="7164F058" wp14:editId="486550A9">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8"/>
                    <a:stretch>
                      <a:fillRect/>
                    </a:stretch>
                  </pic:blipFill>
                  <pic:spPr>
                    <a:xfrm>
                      <a:off x="0" y="0"/>
                      <a:ext cx="9144" cy="9147"/>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7456" behindDoc="0" locked="0" layoutInCell="1" allowOverlap="0" wp14:anchorId="71D4446D" wp14:editId="7751EC0D">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9"/>
                    <a:stretch>
                      <a:fillRect/>
                    </a:stretch>
                  </pic:blipFill>
                  <pic:spPr>
                    <a:xfrm>
                      <a:off x="0" y="0"/>
                      <a:ext cx="18288" cy="15245"/>
                    </a:xfrm>
                    <a:prstGeom prst="rect">
                      <a:avLst/>
                    </a:prstGeom>
                  </pic:spPr>
                </pic:pic>
              </a:graphicData>
            </a:graphic>
          </wp:anchor>
        </w:drawing>
      </w:r>
      <w:proofErr w:type="gramStart"/>
      <w:r w:rsidRPr="00185E01">
        <w:rPr>
          <w:rFonts w:ascii="Times New Roman" w:eastAsia="Times New Roman" w:hAnsi="Times New Roman" w:cs="Times New Roman"/>
          <w:color w:val="000000"/>
          <w:sz w:val="24"/>
          <w:szCs w:val="24"/>
        </w:rPr>
        <w:t>In order to</w:t>
      </w:r>
      <w:proofErr w:type="gramEnd"/>
      <w:r w:rsidRPr="00185E01">
        <w:rPr>
          <w:rFonts w:ascii="Times New Roman" w:eastAsia="Times New Roman" w:hAnsi="Times New Roman" w:cs="Times New Roman"/>
          <w:color w:val="000000"/>
          <w:sz w:val="24"/>
          <w:szCs w:val="24"/>
        </w:rPr>
        <w:t xml:space="preserve"> preserve the confidentiality of the student involved in these proceedings, when an </w:t>
      </w:r>
      <w:r w:rsidRPr="00185E01">
        <w:rPr>
          <w:rFonts w:ascii="Times New Roman" w:eastAsia="Times New Roman" w:hAnsi="Times New Roman" w:cs="Times New Roman"/>
          <w:noProof/>
          <w:color w:val="000000"/>
          <w:sz w:val="24"/>
          <w:szCs w:val="24"/>
        </w:rPr>
        <w:drawing>
          <wp:inline distT="0" distB="0" distL="0" distR="0" wp14:anchorId="1CD9A2A4" wp14:editId="6441210D">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0"/>
                    <a:stretch>
                      <a:fillRect/>
                    </a:stretch>
                  </pic:blipFill>
                  <pic:spPr>
                    <a:xfrm>
                      <a:off x="0" y="0"/>
                      <a:ext cx="6096" cy="12196"/>
                    </a:xfrm>
                    <a:prstGeom prst="rect">
                      <a:avLst/>
                    </a:prstGeom>
                  </pic:spPr>
                </pic:pic>
              </a:graphicData>
            </a:graphic>
          </wp:inline>
        </w:drawing>
      </w:r>
      <w:r w:rsidRPr="00185E01">
        <w:rPr>
          <w:rFonts w:ascii="Times New Roman" w:eastAsia="Times New Roman" w:hAnsi="Times New Roman" w:cs="Times New Roman"/>
          <w:color w:val="000000"/>
          <w:sz w:val="24"/>
          <w:szCs w:val="24"/>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185E01">
        <w:rPr>
          <w:rFonts w:ascii="Times New Roman" w:eastAsia="Times New Roman" w:hAnsi="Times New Roman" w:cs="Times New Roman"/>
          <w:i/>
          <w:iCs/>
          <w:color w:val="000000"/>
          <w:sz w:val="24"/>
          <w:szCs w:val="24"/>
        </w:rPr>
        <w:t xml:space="preserve">Webster </w:t>
      </w:r>
      <w:proofErr w:type="spellStart"/>
      <w:r w:rsidRPr="00185E01">
        <w:rPr>
          <w:rFonts w:ascii="Times New Roman" w:eastAsia="Times New Roman" w:hAnsi="Times New Roman" w:cs="Times New Roman"/>
          <w:i/>
          <w:iCs/>
          <w:color w:val="000000"/>
          <w:sz w:val="24"/>
          <w:szCs w:val="24"/>
        </w:rPr>
        <w:t>Grove_School</w:t>
      </w:r>
      <w:proofErr w:type="spellEnd"/>
      <w:r w:rsidRPr="00185E01">
        <w:rPr>
          <w:rFonts w:ascii="Times New Roman" w:eastAsia="Times New Roman" w:hAnsi="Times New Roman" w:cs="Times New Roman"/>
          <w:i/>
          <w:iCs/>
          <w:color w:val="000000"/>
          <w:sz w:val="24"/>
          <w:szCs w:val="24"/>
        </w:rPr>
        <w:t xml:space="preserve"> District v. Pulitzer Publishing</w:t>
      </w:r>
    </w:p>
    <w:p w14:paraId="372B9616" w14:textId="77777777" w:rsidR="00185E01" w:rsidRPr="00185E01" w:rsidRDefault="00185E01" w:rsidP="00185E01">
      <w:pPr>
        <w:spacing w:after="562" w:line="243" w:lineRule="auto"/>
        <w:ind w:left="19" w:right="172"/>
        <w:jc w:val="both"/>
        <w:rPr>
          <w:rFonts w:ascii="Times New Roman" w:eastAsia="Times New Roman" w:hAnsi="Times New Roman" w:cs="Times New Roman"/>
          <w:color w:val="000000"/>
          <w:sz w:val="24"/>
          <w:szCs w:val="24"/>
        </w:rPr>
      </w:pPr>
      <w:r w:rsidRPr="00185E01">
        <w:rPr>
          <w:rFonts w:ascii="Times New Roman" w:eastAsia="Times New Roman" w:hAnsi="Times New Roman" w:cs="Times New Roman"/>
          <w:i/>
          <w:iCs/>
          <w:color w:val="000000"/>
          <w:sz w:val="24"/>
          <w:szCs w:val="24"/>
        </w:rPr>
        <w:t>Company</w:t>
      </w:r>
      <w:r w:rsidRPr="00185E01">
        <w:rPr>
          <w:rFonts w:ascii="Times New Roman" w:eastAsia="Times New Roman" w:hAnsi="Times New Roman" w:cs="Times New Roman"/>
          <w:color w:val="000000"/>
          <w:sz w:val="24"/>
          <w:szCs w:val="24"/>
        </w:rPr>
        <w:t>, 898 F.2d 1371 (8th. Cir. 1990). If the appealing party does not seek to impound the documents, the Bureau of Special Education Appeals, through the Attorney General's Office, may move to impound the documents.</w:t>
      </w:r>
    </w:p>
    <w:p w14:paraId="1E29A40F" w14:textId="77777777" w:rsidR="00185E01" w:rsidRPr="00185E01" w:rsidRDefault="00185E01" w:rsidP="00185E01">
      <w:pPr>
        <w:spacing w:after="231" w:line="259" w:lineRule="auto"/>
        <w:ind w:left="62"/>
        <w:rPr>
          <w:rFonts w:ascii="Times New Roman" w:eastAsia="Times New Roman" w:hAnsi="Times New Roman" w:cs="Times New Roman"/>
          <w:color w:val="000000"/>
          <w:sz w:val="24"/>
          <w:szCs w:val="24"/>
          <w:u w:val="single"/>
        </w:rPr>
      </w:pPr>
      <w:r w:rsidRPr="00185E01">
        <w:rPr>
          <w:rFonts w:ascii="Times New Roman" w:eastAsia="Times New Roman" w:hAnsi="Times New Roman" w:cs="Times New Roman"/>
          <w:color w:val="000000"/>
          <w:sz w:val="24"/>
          <w:szCs w:val="24"/>
          <w:u w:val="single"/>
        </w:rPr>
        <w:t>Record of the Hearing</w:t>
      </w:r>
    </w:p>
    <w:p w14:paraId="3E8793AA" w14:textId="77777777" w:rsidR="00185E01" w:rsidRPr="00185E01" w:rsidRDefault="00185E01" w:rsidP="00185E01">
      <w:pPr>
        <w:spacing w:after="292" w:line="243" w:lineRule="auto"/>
        <w:ind w:left="19" w:right="172"/>
        <w:jc w:val="both"/>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34D44512" w14:textId="77777777" w:rsidR="00296CAE" w:rsidRPr="003F0A5A" w:rsidRDefault="00296CAE" w:rsidP="00227121">
      <w:pPr>
        <w:shd w:val="clear" w:color="auto" w:fill="FFFFFF"/>
        <w:rPr>
          <w:rFonts w:ascii="Times New Roman" w:eastAsia="Times New Roman" w:hAnsi="Times New Roman" w:cs="Times New Roman"/>
          <w:sz w:val="24"/>
          <w:szCs w:val="24"/>
        </w:rPr>
      </w:pPr>
    </w:p>
    <w:p w14:paraId="7EEC47C2" w14:textId="77777777" w:rsidR="0090671E" w:rsidRPr="003F0A5A" w:rsidRDefault="0090671E" w:rsidP="00227121"/>
    <w:sectPr w:rsidR="0090671E" w:rsidRPr="003F0A5A" w:rsidSect="00FD7D3F">
      <w:footerReference w:type="default" r:id="rId2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F648" w14:textId="77777777" w:rsidR="00CD6344" w:rsidRDefault="00CD6344" w:rsidP="00296CAE">
      <w:r>
        <w:separator/>
      </w:r>
    </w:p>
  </w:endnote>
  <w:endnote w:type="continuationSeparator" w:id="0">
    <w:p w14:paraId="0251A69B" w14:textId="77777777" w:rsidR="00CD6344" w:rsidRDefault="00CD6344" w:rsidP="0029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630412"/>
      <w:docPartObj>
        <w:docPartGallery w:val="Page Numbers (Bottom of Page)"/>
        <w:docPartUnique/>
      </w:docPartObj>
    </w:sdtPr>
    <w:sdtEndPr>
      <w:rPr>
        <w:rFonts w:ascii="Times New Roman" w:hAnsi="Times New Roman" w:cs="Times New Roman"/>
        <w:noProof/>
      </w:rPr>
    </w:sdtEndPr>
    <w:sdtContent>
      <w:p w14:paraId="448A8E34" w14:textId="77777777" w:rsidR="004D7855" w:rsidRPr="004D7855" w:rsidRDefault="0003733C">
        <w:pPr>
          <w:pStyle w:val="Footer"/>
          <w:jc w:val="right"/>
          <w:rPr>
            <w:rFonts w:ascii="Times New Roman" w:hAnsi="Times New Roman" w:cs="Times New Roman"/>
          </w:rPr>
        </w:pPr>
        <w:r w:rsidRPr="004D7855">
          <w:rPr>
            <w:rFonts w:ascii="Times New Roman" w:hAnsi="Times New Roman" w:cs="Times New Roman"/>
          </w:rPr>
          <w:fldChar w:fldCharType="begin"/>
        </w:r>
        <w:r w:rsidRPr="004D7855">
          <w:rPr>
            <w:rFonts w:ascii="Times New Roman" w:hAnsi="Times New Roman" w:cs="Times New Roman"/>
          </w:rPr>
          <w:instrText xml:space="preserve"> PAGE   \* MERGEFORMAT </w:instrText>
        </w:r>
        <w:r w:rsidRPr="004D7855">
          <w:rPr>
            <w:rFonts w:ascii="Times New Roman" w:hAnsi="Times New Roman" w:cs="Times New Roman"/>
          </w:rPr>
          <w:fldChar w:fldCharType="separate"/>
        </w:r>
        <w:r w:rsidRPr="004D7855">
          <w:rPr>
            <w:rFonts w:ascii="Times New Roman" w:hAnsi="Times New Roman" w:cs="Times New Roman"/>
            <w:noProof/>
          </w:rPr>
          <w:t>2</w:t>
        </w:r>
        <w:r w:rsidRPr="004D7855">
          <w:rPr>
            <w:rFonts w:ascii="Times New Roman" w:hAnsi="Times New Roman" w:cs="Times New Roman"/>
            <w:noProof/>
          </w:rPr>
          <w:fldChar w:fldCharType="end"/>
        </w:r>
      </w:p>
    </w:sdtContent>
  </w:sdt>
  <w:p w14:paraId="127E2827" w14:textId="77777777" w:rsidR="004D7855" w:rsidRDefault="00CD6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591D" w14:textId="77777777" w:rsidR="00CD6344" w:rsidRDefault="00CD6344" w:rsidP="00296CAE">
      <w:r>
        <w:separator/>
      </w:r>
    </w:p>
  </w:footnote>
  <w:footnote w:type="continuationSeparator" w:id="0">
    <w:p w14:paraId="398D44AA" w14:textId="77777777" w:rsidR="00CD6344" w:rsidRDefault="00CD6344" w:rsidP="00296CAE">
      <w:r>
        <w:continuationSeparator/>
      </w:r>
    </w:p>
  </w:footnote>
  <w:footnote w:id="1">
    <w:p w14:paraId="43231F1E" w14:textId="2CE27E5D" w:rsidR="00C74480" w:rsidRPr="002E3D2F" w:rsidRDefault="00C74480">
      <w:pPr>
        <w:pStyle w:val="FootnoteText"/>
        <w:rPr>
          <w:rFonts w:ascii="Times New Roman" w:hAnsi="Times New Roman" w:cs="Times New Roman"/>
        </w:rPr>
      </w:pPr>
      <w:r w:rsidRPr="002E3D2F">
        <w:rPr>
          <w:rStyle w:val="FootnoteReference"/>
          <w:rFonts w:ascii="Times New Roman" w:hAnsi="Times New Roman" w:cs="Times New Roman"/>
        </w:rPr>
        <w:footnoteRef/>
      </w:r>
      <w:r w:rsidR="0004684E" w:rsidRPr="002E3D2F">
        <w:rPr>
          <w:rFonts w:ascii="Times New Roman" w:hAnsi="Times New Roman" w:cs="Times New Roman"/>
        </w:rPr>
        <w:t xml:space="preserve">  </w:t>
      </w:r>
      <w:r w:rsidRPr="002E3D2F">
        <w:rPr>
          <w:rFonts w:ascii="Times New Roman" w:hAnsi="Times New Roman" w:cs="Times New Roman"/>
        </w:rPr>
        <w:t xml:space="preserve">During the Conference Call, </w:t>
      </w:r>
      <w:r w:rsidR="00DF7713">
        <w:rPr>
          <w:rFonts w:ascii="Times New Roman" w:hAnsi="Times New Roman" w:cs="Times New Roman"/>
        </w:rPr>
        <w:t xml:space="preserve">however, </w:t>
      </w:r>
      <w:r w:rsidRPr="002E3D2F">
        <w:rPr>
          <w:rFonts w:ascii="Times New Roman" w:hAnsi="Times New Roman" w:cs="Times New Roman"/>
        </w:rPr>
        <w:t xml:space="preserve">Parent’s counsel advised that he agreed with Malden’s conclusions that all allegations were untimely, </w:t>
      </w:r>
      <w:r w:rsidR="00036347" w:rsidRPr="002E3D2F">
        <w:rPr>
          <w:rFonts w:ascii="Times New Roman" w:hAnsi="Times New Roman" w:cs="Times New Roman"/>
        </w:rPr>
        <w:t xml:space="preserve">and he did not oppose the </w:t>
      </w:r>
      <w:r w:rsidR="00036347" w:rsidRPr="002E3D2F">
        <w:rPr>
          <w:rFonts w:ascii="Times New Roman" w:hAnsi="Times New Roman" w:cs="Times New Roman"/>
          <w:i/>
          <w:iCs/>
        </w:rPr>
        <w:t>Motion</w:t>
      </w:r>
      <w:r w:rsidR="00641D8D">
        <w:rPr>
          <w:rFonts w:ascii="Times New Roman" w:hAnsi="Times New Roman" w:cs="Times New Roman"/>
        </w:rPr>
        <w:t xml:space="preserve">.  </w:t>
      </w:r>
      <w:r w:rsidRPr="002E3D2F">
        <w:rPr>
          <w:rFonts w:ascii="Times New Roman" w:hAnsi="Times New Roman" w:cs="Times New Roman"/>
        </w:rPr>
        <w:t xml:space="preserve"> </w:t>
      </w:r>
      <w:r w:rsidR="00641D8D">
        <w:rPr>
          <w:rFonts w:ascii="Times New Roman" w:hAnsi="Times New Roman" w:cs="Times New Roman"/>
        </w:rPr>
        <w:t xml:space="preserve">He </w:t>
      </w:r>
      <w:r w:rsidR="009A6AE1">
        <w:rPr>
          <w:rFonts w:ascii="Times New Roman" w:hAnsi="Times New Roman" w:cs="Times New Roman"/>
        </w:rPr>
        <w:t>explained that</w:t>
      </w:r>
      <w:r w:rsidR="00641D8D">
        <w:rPr>
          <w:rFonts w:ascii="Times New Roman" w:hAnsi="Times New Roman" w:cs="Times New Roman"/>
        </w:rPr>
        <w:t xml:space="preserve"> he filed</w:t>
      </w:r>
      <w:r w:rsidRPr="002E3D2F">
        <w:rPr>
          <w:rFonts w:ascii="Times New Roman" w:hAnsi="Times New Roman" w:cs="Times New Roman"/>
        </w:rPr>
        <w:t xml:space="preserve"> the </w:t>
      </w:r>
      <w:r w:rsidRPr="002E3D2F">
        <w:rPr>
          <w:rFonts w:ascii="Times New Roman" w:hAnsi="Times New Roman" w:cs="Times New Roman"/>
          <w:i/>
          <w:iCs/>
        </w:rPr>
        <w:t xml:space="preserve">Hearing Request </w:t>
      </w:r>
      <w:r w:rsidR="004516D2">
        <w:rPr>
          <w:rFonts w:ascii="Times New Roman" w:hAnsi="Times New Roman" w:cs="Times New Roman"/>
        </w:rPr>
        <w:t xml:space="preserve">due to </w:t>
      </w:r>
      <w:r w:rsidR="00AA09EC" w:rsidRPr="002E3D2F">
        <w:rPr>
          <w:rFonts w:ascii="Times New Roman" w:hAnsi="Times New Roman" w:cs="Times New Roman"/>
        </w:rPr>
        <w:t xml:space="preserve"> the Middlesex Superior Court’s </w:t>
      </w:r>
      <w:r w:rsidR="009E229A" w:rsidRPr="002E3D2F">
        <w:rPr>
          <w:rFonts w:ascii="Times New Roman" w:hAnsi="Times New Roman" w:cs="Times New Roman"/>
          <w:i/>
          <w:iCs/>
        </w:rPr>
        <w:t>Memorandum of Decision and Order on Defendants’ Motion to Dismiss Plaintiff’s Complaint</w:t>
      </w:r>
      <w:r w:rsidR="009E229A" w:rsidRPr="002E3D2F">
        <w:rPr>
          <w:rFonts w:ascii="Times New Roman" w:hAnsi="Times New Roman" w:cs="Times New Roman"/>
        </w:rPr>
        <w:t xml:space="preserve"> </w:t>
      </w:r>
      <w:r w:rsidR="00AA09EC" w:rsidRPr="002E3D2F">
        <w:rPr>
          <w:rFonts w:ascii="Times New Roman" w:hAnsi="Times New Roman" w:cs="Times New Roman"/>
        </w:rPr>
        <w:t xml:space="preserve">(April 16, 2020, Barry-Smith, J., </w:t>
      </w:r>
      <w:r w:rsidR="00457778" w:rsidRPr="002E3D2F">
        <w:rPr>
          <w:rFonts w:ascii="Times New Roman" w:hAnsi="Times New Roman" w:cs="Times New Roman"/>
        </w:rPr>
        <w:t>1881CV02654</w:t>
      </w:r>
      <w:r w:rsidR="00AA09EC" w:rsidRPr="002E3D2F">
        <w:rPr>
          <w:rFonts w:ascii="Times New Roman" w:hAnsi="Times New Roman" w:cs="Times New Roman"/>
        </w:rPr>
        <w:t xml:space="preserve">) </w:t>
      </w:r>
      <w:r w:rsidR="00457778" w:rsidRPr="002E3D2F">
        <w:rPr>
          <w:rFonts w:ascii="Times New Roman" w:hAnsi="Times New Roman" w:cs="Times New Roman"/>
        </w:rPr>
        <w:t xml:space="preserve">(attached as Exhibit A to the </w:t>
      </w:r>
      <w:r w:rsidR="00406511" w:rsidRPr="002E3D2F">
        <w:rPr>
          <w:rFonts w:ascii="Times New Roman" w:hAnsi="Times New Roman" w:cs="Times New Roman"/>
          <w:i/>
          <w:iCs/>
        </w:rPr>
        <w:t>Request/</w:t>
      </w:r>
      <w:r w:rsidR="00457778" w:rsidRPr="002E3D2F">
        <w:rPr>
          <w:rFonts w:ascii="Times New Roman" w:hAnsi="Times New Roman" w:cs="Times New Roman"/>
          <w:i/>
          <w:iCs/>
        </w:rPr>
        <w:t>Motion</w:t>
      </w:r>
      <w:r w:rsidR="00457778" w:rsidRPr="002E3D2F">
        <w:rPr>
          <w:rFonts w:ascii="Times New Roman" w:hAnsi="Times New Roman" w:cs="Times New Roman"/>
        </w:rPr>
        <w:t xml:space="preserve">), </w:t>
      </w:r>
      <w:r w:rsidR="00AA09EC" w:rsidRPr="002E3D2F">
        <w:rPr>
          <w:rFonts w:ascii="Times New Roman" w:hAnsi="Times New Roman" w:cs="Times New Roman"/>
        </w:rPr>
        <w:t xml:space="preserve">dismissing Parent’s Complaint </w:t>
      </w:r>
      <w:r w:rsidR="009A6AE1">
        <w:rPr>
          <w:rFonts w:ascii="Times New Roman" w:hAnsi="Times New Roman" w:cs="Times New Roman"/>
        </w:rPr>
        <w:t>for</w:t>
      </w:r>
      <w:r w:rsidR="00AA09EC" w:rsidRPr="002E3D2F">
        <w:rPr>
          <w:rFonts w:ascii="Times New Roman" w:hAnsi="Times New Roman" w:cs="Times New Roman"/>
        </w:rPr>
        <w:t xml:space="preserve"> failure to exhaust administrative remedies with the BSEA prior to filing </w:t>
      </w:r>
      <w:r w:rsidR="00ED3BEF" w:rsidRPr="002E3D2F">
        <w:rPr>
          <w:rFonts w:ascii="Times New Roman" w:hAnsi="Times New Roman" w:cs="Times New Roman"/>
        </w:rPr>
        <w:t xml:space="preserve">a civil action </w:t>
      </w:r>
      <w:r w:rsidR="00DE0AA3" w:rsidRPr="002E3D2F">
        <w:rPr>
          <w:rFonts w:ascii="Times New Roman" w:hAnsi="Times New Roman" w:cs="Times New Roman"/>
        </w:rPr>
        <w:t>as required by 20 USC 1415(l)</w:t>
      </w:r>
      <w:r w:rsidR="007719BE" w:rsidRPr="002E3D2F">
        <w:rPr>
          <w:rFonts w:ascii="Times New Roman" w:hAnsi="Times New Roman" w:cs="Times New Roman"/>
        </w:rPr>
        <w:t>.</w:t>
      </w:r>
    </w:p>
  </w:footnote>
  <w:footnote w:id="2">
    <w:p w14:paraId="75D46C32" w14:textId="55A58A21" w:rsidR="00452B24" w:rsidRPr="00452B24" w:rsidRDefault="00452B24" w:rsidP="00452B24">
      <w:pPr>
        <w:rPr>
          <w:rFonts w:ascii="Times New Roman" w:eastAsia="Times New Roman" w:hAnsi="Times New Roman" w:cs="Times New Roman"/>
          <w:bCs/>
          <w:color w:val="000000"/>
          <w:sz w:val="20"/>
          <w:szCs w:val="20"/>
        </w:rPr>
      </w:pPr>
      <w:r w:rsidRPr="00452B24">
        <w:rPr>
          <w:rStyle w:val="FootnoteReference"/>
          <w:rFonts w:ascii="Times New Roman" w:hAnsi="Times New Roman" w:cs="Times New Roman"/>
          <w:sz w:val="20"/>
          <w:szCs w:val="20"/>
        </w:rPr>
        <w:footnoteRef/>
      </w:r>
      <w:r w:rsidRPr="00452B24">
        <w:rPr>
          <w:rFonts w:ascii="Times New Roman" w:hAnsi="Times New Roman" w:cs="Times New Roman"/>
          <w:sz w:val="20"/>
          <w:szCs w:val="20"/>
        </w:rPr>
        <w:t xml:space="preserve"> </w:t>
      </w:r>
      <w:r w:rsidRPr="00452B24">
        <w:rPr>
          <w:rFonts w:ascii="Times New Roman" w:eastAsia="Times New Roman" w:hAnsi="Times New Roman" w:cs="Times New Roman"/>
          <w:bCs/>
          <w:color w:val="000000"/>
          <w:sz w:val="20"/>
          <w:szCs w:val="20"/>
        </w:rPr>
        <w:t>M.G.L. c. 71B §5, the Move-In Law, provides, in relevant part,</w:t>
      </w:r>
    </w:p>
    <w:p w14:paraId="0BAE59B4" w14:textId="6E73233C" w:rsidR="000F784D" w:rsidRPr="007A4B62" w:rsidRDefault="00452B24" w:rsidP="007A4B62">
      <w:pPr>
        <w:shd w:val="clear" w:color="auto" w:fill="FFFFFF"/>
        <w:ind w:left="720" w:right="720"/>
        <w:jc w:val="both"/>
        <w:rPr>
          <w:rFonts w:ascii="Times New Roman" w:eastAsia="Times New Roman" w:hAnsi="Times New Roman" w:cs="Times New Roman"/>
          <w:bCs/>
          <w:color w:val="000000"/>
          <w:sz w:val="20"/>
          <w:szCs w:val="20"/>
        </w:rPr>
      </w:pPr>
      <w:r w:rsidRPr="00452B24">
        <w:rPr>
          <w:rFonts w:ascii="Times New Roman" w:eastAsia="Times New Roman" w:hAnsi="Times New Roman" w:cs="Times New Roman"/>
          <w:bCs/>
          <w:color w:val="000000"/>
          <w:sz w:val="20"/>
          <w:szCs w:val="20"/>
        </w:rPr>
        <w:t xml:space="preserve">… if a child with a disability for whom a school committee currently provides or arranges for the provision of special education in an approved private day or residential school placement, … or his parent or guardian moves to a different school district on or after July 1 of any fiscal year, such school committee of the former community of residence shall pay the approved budgeted costs, including necessary transportation costs, of such day or residential placement, … of such child for the balance of such fiscal year …. </w:t>
      </w:r>
    </w:p>
  </w:footnote>
  <w:footnote w:id="3">
    <w:p w14:paraId="34203F83" w14:textId="33F00DF5" w:rsidR="00296CAE" w:rsidRPr="002E3D2F" w:rsidRDefault="00296CAE" w:rsidP="00296CAE">
      <w:pPr>
        <w:pStyle w:val="FootnoteText"/>
        <w:rPr>
          <w:rFonts w:ascii="Times New Roman" w:hAnsi="Times New Roman" w:cs="Times New Roman"/>
        </w:rPr>
      </w:pPr>
      <w:r w:rsidRPr="002E3D2F">
        <w:rPr>
          <w:rStyle w:val="FootnoteReference"/>
          <w:rFonts w:ascii="Times New Roman" w:hAnsi="Times New Roman" w:cs="Times New Roman"/>
        </w:rPr>
        <w:footnoteRef/>
      </w:r>
      <w:r w:rsidRPr="002E3D2F">
        <w:rPr>
          <w:rFonts w:ascii="Times New Roman" w:hAnsi="Times New Roman" w:cs="Times New Roman"/>
        </w:rPr>
        <w:t xml:space="preserve"> </w:t>
      </w:r>
      <w:r w:rsidR="0004684E" w:rsidRPr="002E3D2F">
        <w:rPr>
          <w:rFonts w:ascii="Times New Roman" w:hAnsi="Times New Roman" w:cs="Times New Roman"/>
        </w:rPr>
        <w:t xml:space="preserve"> </w:t>
      </w:r>
      <w:r w:rsidRPr="002E3D2F">
        <w:rPr>
          <w:rFonts w:ascii="Times New Roman" w:eastAsia="Times New Roman" w:hAnsi="Times New Roman" w:cs="Times New Roman"/>
          <w:i/>
          <w:iCs/>
        </w:rPr>
        <w:t>Iannocchino v. Ford Motor Co.</w:t>
      </w:r>
      <w:r w:rsidRPr="002E3D2F">
        <w:rPr>
          <w:rFonts w:ascii="Times New Roman" w:eastAsia="Times New Roman" w:hAnsi="Times New Roman" w:cs="Times New Roman"/>
        </w:rPr>
        <w:t>, 451 Mass. 623, 636 (2008) quoting </w:t>
      </w:r>
      <w:r w:rsidRPr="002E3D2F">
        <w:rPr>
          <w:rFonts w:ascii="Times New Roman" w:eastAsia="Times New Roman" w:hAnsi="Times New Roman" w:cs="Times New Roman"/>
          <w:i/>
          <w:iCs/>
        </w:rPr>
        <w:t>Bell Atl. Corp. v. Twombly</w:t>
      </w:r>
      <w:r w:rsidRPr="002E3D2F">
        <w:rPr>
          <w:rFonts w:ascii="Times New Roman" w:eastAsia="Times New Roman" w:hAnsi="Times New Roman" w:cs="Times New Roman"/>
        </w:rPr>
        <w:t>, 550 U.S. 544, 557 (2007).</w:t>
      </w:r>
    </w:p>
  </w:footnote>
  <w:footnote w:id="4">
    <w:p w14:paraId="54314F25" w14:textId="7018AF56" w:rsidR="00296CAE" w:rsidRPr="002E3D2F" w:rsidRDefault="00296CAE" w:rsidP="00296CAE">
      <w:pPr>
        <w:pStyle w:val="FootnoteText"/>
        <w:rPr>
          <w:rFonts w:ascii="Times New Roman" w:eastAsia="Times New Roman" w:hAnsi="Times New Roman" w:cs="Times New Roman"/>
        </w:rPr>
      </w:pPr>
      <w:r w:rsidRPr="002E3D2F">
        <w:rPr>
          <w:rStyle w:val="FootnoteReference"/>
          <w:rFonts w:ascii="Times New Roman" w:hAnsi="Times New Roman" w:cs="Times New Roman"/>
        </w:rPr>
        <w:footnoteRef/>
      </w:r>
      <w:r w:rsidRPr="002E3D2F">
        <w:rPr>
          <w:rFonts w:ascii="Times New Roman" w:hAnsi="Times New Roman" w:cs="Times New Roman"/>
        </w:rPr>
        <w:t xml:space="preserve"> </w:t>
      </w:r>
      <w:r w:rsidR="0004684E" w:rsidRPr="002E3D2F">
        <w:rPr>
          <w:rFonts w:ascii="Times New Roman" w:hAnsi="Times New Roman" w:cs="Times New Roman"/>
        </w:rPr>
        <w:t xml:space="preserve"> </w:t>
      </w:r>
      <w:r w:rsidRPr="002E3D2F">
        <w:rPr>
          <w:rFonts w:ascii="Times New Roman" w:eastAsia="Times New Roman" w:hAnsi="Times New Roman" w:cs="Times New Roman"/>
          <w:i/>
          <w:iCs/>
        </w:rPr>
        <w:t>Blank v. Chelmsford Ob/Gyn, P.C.</w:t>
      </w:r>
      <w:r w:rsidRPr="002E3D2F">
        <w:rPr>
          <w:rFonts w:ascii="Times New Roman" w:eastAsia="Times New Roman" w:hAnsi="Times New Roman" w:cs="Times New Roman"/>
        </w:rPr>
        <w:t>, 420 Mass. 404, 407 (1995).</w:t>
      </w:r>
    </w:p>
  </w:footnote>
  <w:footnote w:id="5">
    <w:p w14:paraId="02B60E05" w14:textId="08817D06" w:rsidR="00296CAE" w:rsidRPr="002E3D2F" w:rsidRDefault="00296CAE" w:rsidP="00296CAE">
      <w:pPr>
        <w:pStyle w:val="FootnoteText"/>
        <w:rPr>
          <w:rFonts w:ascii="Times New Roman" w:hAnsi="Times New Roman" w:cs="Times New Roman"/>
        </w:rPr>
      </w:pPr>
      <w:r w:rsidRPr="002E3D2F">
        <w:rPr>
          <w:rStyle w:val="FootnoteReference"/>
          <w:rFonts w:ascii="Times New Roman" w:hAnsi="Times New Roman" w:cs="Times New Roman"/>
        </w:rPr>
        <w:footnoteRef/>
      </w:r>
      <w:r w:rsidRPr="002E3D2F">
        <w:rPr>
          <w:rFonts w:ascii="Times New Roman" w:hAnsi="Times New Roman" w:cs="Times New Roman"/>
        </w:rPr>
        <w:t xml:space="preserve"> </w:t>
      </w:r>
      <w:r w:rsidR="0004684E" w:rsidRPr="002E3D2F">
        <w:rPr>
          <w:rFonts w:ascii="Times New Roman" w:hAnsi="Times New Roman" w:cs="Times New Roman"/>
        </w:rPr>
        <w:t xml:space="preserve"> </w:t>
      </w:r>
      <w:r w:rsidR="0079321E">
        <w:rPr>
          <w:rFonts w:ascii="Times New Roman" w:hAnsi="Times New Roman" w:cs="Times New Roman"/>
        </w:rPr>
        <w:t xml:space="preserve">See </w:t>
      </w:r>
      <w:r w:rsidRPr="002E3D2F">
        <w:rPr>
          <w:rFonts w:ascii="Times New Roman" w:eastAsia="Times New Roman" w:hAnsi="Times New Roman" w:cs="Times New Roman"/>
          <w:i/>
          <w:iCs/>
        </w:rPr>
        <w:t>Nollet v. Justices of the Trial Court of Mass., </w:t>
      </w:r>
      <w:r w:rsidRPr="002E3D2F">
        <w:rPr>
          <w:rFonts w:ascii="Times New Roman" w:eastAsia="Times New Roman" w:hAnsi="Times New Roman" w:cs="Times New Roman"/>
        </w:rPr>
        <w:t>83 F. Supp. 2d 204, 208 (D.Mass. 2000), </w:t>
      </w:r>
      <w:r w:rsidRPr="002E3D2F">
        <w:rPr>
          <w:rFonts w:ascii="Times New Roman" w:eastAsia="Times New Roman" w:hAnsi="Times New Roman" w:cs="Times New Roman"/>
          <w:i/>
          <w:iCs/>
        </w:rPr>
        <w:t>aff'd, </w:t>
      </w:r>
      <w:r w:rsidRPr="002E3D2F">
        <w:rPr>
          <w:rFonts w:ascii="Times New Roman" w:eastAsia="Times New Roman" w:hAnsi="Times New Roman" w:cs="Times New Roman"/>
        </w:rPr>
        <w:t xml:space="preserve">248 F.3d 1127 (1st Cir. 2000); </w:t>
      </w:r>
      <w:r w:rsidRPr="002E3D2F">
        <w:rPr>
          <w:rFonts w:ascii="Times New Roman" w:eastAsia="Times New Roman" w:hAnsi="Times New Roman" w:cs="Times New Roman"/>
          <w:i/>
          <w:iCs/>
        </w:rPr>
        <w:t>In Re: Ludlow Public Schools</w:t>
      </w:r>
      <w:r w:rsidRPr="002E3D2F">
        <w:rPr>
          <w:rFonts w:ascii="Times New Roman" w:eastAsia="Times New Roman" w:hAnsi="Times New Roman" w:cs="Times New Roman"/>
        </w:rPr>
        <w:t>, BSEA No. 1603808, 115 LRP 58373 (Figueroa, 2015).</w:t>
      </w:r>
    </w:p>
  </w:footnote>
  <w:footnote w:id="6">
    <w:p w14:paraId="1D44858C" w14:textId="296ADBA5" w:rsidR="00296CAE" w:rsidRPr="002E3D2F" w:rsidRDefault="00296CAE" w:rsidP="00296CAE">
      <w:pPr>
        <w:pStyle w:val="FootnoteText"/>
        <w:rPr>
          <w:rFonts w:ascii="Times New Roman" w:hAnsi="Times New Roman" w:cs="Times New Roman"/>
        </w:rPr>
      </w:pPr>
      <w:r w:rsidRPr="002E3D2F">
        <w:rPr>
          <w:rStyle w:val="FootnoteReference"/>
          <w:rFonts w:ascii="Times New Roman" w:hAnsi="Times New Roman" w:cs="Times New Roman"/>
        </w:rPr>
        <w:footnoteRef/>
      </w:r>
      <w:r w:rsidRPr="002E3D2F">
        <w:rPr>
          <w:rFonts w:ascii="Times New Roman" w:hAnsi="Times New Roman" w:cs="Times New Roman"/>
        </w:rPr>
        <w:t xml:space="preserve"> </w:t>
      </w:r>
      <w:r w:rsidR="0004684E" w:rsidRPr="002E3D2F">
        <w:rPr>
          <w:rFonts w:ascii="Times New Roman" w:hAnsi="Times New Roman" w:cs="Times New Roman"/>
        </w:rPr>
        <w:t xml:space="preserve"> </w:t>
      </w:r>
      <w:r w:rsidR="00E219EF" w:rsidRPr="002E3D2F">
        <w:rPr>
          <w:rFonts w:ascii="Times New Roman" w:eastAsia="Times New Roman" w:hAnsi="Times New Roman" w:cs="Times New Roman"/>
          <w:i/>
          <w:iCs/>
          <w:bdr w:val="none" w:sz="0" w:space="0" w:color="auto" w:frame="1"/>
        </w:rPr>
        <w:t>Ocasio-Hernandez v. Fortuno-Burset</w:t>
      </w:r>
      <w:r w:rsidR="00E219EF" w:rsidRPr="002E3D2F">
        <w:rPr>
          <w:rFonts w:ascii="Times New Roman" w:eastAsia="Times New Roman" w:hAnsi="Times New Roman" w:cs="Times New Roman"/>
        </w:rPr>
        <w:t>, 640 F.3d 1, 12 (1st Cir. 2011)</w:t>
      </w:r>
      <w:r w:rsidRPr="002E3D2F">
        <w:rPr>
          <w:rFonts w:ascii="Times New Roman" w:hAnsi="Times New Roman" w:cs="Times New Roman"/>
        </w:rPr>
        <w:t>.</w:t>
      </w:r>
    </w:p>
  </w:footnote>
  <w:footnote w:id="7">
    <w:p w14:paraId="68C41A62" w14:textId="6AAA1573" w:rsidR="00296CAE" w:rsidRPr="002E3D2F" w:rsidRDefault="00296CAE" w:rsidP="00296CAE">
      <w:pPr>
        <w:pStyle w:val="Heading2"/>
        <w:shd w:val="clear" w:color="auto" w:fill="FFFFFF"/>
        <w:spacing w:before="0" w:beforeAutospacing="0" w:after="0" w:afterAutospacing="0"/>
        <w:textAlignment w:val="baseline"/>
        <w:rPr>
          <w:b w:val="0"/>
          <w:bCs w:val="0"/>
          <w:sz w:val="20"/>
          <w:szCs w:val="20"/>
        </w:rPr>
      </w:pPr>
      <w:r w:rsidRPr="002E3D2F">
        <w:rPr>
          <w:rStyle w:val="FootnoteReference"/>
          <w:b w:val="0"/>
          <w:bCs w:val="0"/>
          <w:sz w:val="20"/>
          <w:szCs w:val="20"/>
        </w:rPr>
        <w:footnoteRef/>
      </w:r>
      <w:r w:rsidRPr="002E3D2F">
        <w:rPr>
          <w:b w:val="0"/>
          <w:bCs w:val="0"/>
          <w:sz w:val="20"/>
          <w:szCs w:val="20"/>
        </w:rPr>
        <w:t xml:space="preserve"> </w:t>
      </w:r>
      <w:r w:rsidR="0004684E" w:rsidRPr="002E3D2F">
        <w:rPr>
          <w:b w:val="0"/>
          <w:bCs w:val="0"/>
          <w:sz w:val="20"/>
          <w:szCs w:val="20"/>
        </w:rPr>
        <w:t xml:space="preserve"> </w:t>
      </w:r>
      <w:r w:rsidRPr="002E3D2F">
        <w:rPr>
          <w:b w:val="0"/>
          <w:bCs w:val="0"/>
          <w:i/>
          <w:iCs/>
          <w:sz w:val="20"/>
          <w:szCs w:val="20"/>
        </w:rPr>
        <w:t>Id., citing</w:t>
      </w:r>
      <w:r w:rsidRPr="002E3D2F">
        <w:rPr>
          <w:b w:val="0"/>
          <w:bCs w:val="0"/>
          <w:sz w:val="20"/>
          <w:szCs w:val="20"/>
        </w:rPr>
        <w:t xml:space="preserve"> </w:t>
      </w:r>
      <w:hyperlink r:id="rId1" w:history="1">
        <w:r w:rsidRPr="002E3D2F">
          <w:rPr>
            <w:b w:val="0"/>
            <w:bCs w:val="0"/>
            <w:i/>
            <w:iCs/>
            <w:sz w:val="20"/>
            <w:szCs w:val="20"/>
            <w:bdr w:val="none" w:sz="0" w:space="0" w:color="auto" w:frame="1"/>
          </w:rPr>
          <w:t>Ashcroft v. Iqbal</w:t>
        </w:r>
      </w:hyperlink>
      <w:r w:rsidRPr="002E3D2F">
        <w:rPr>
          <w:b w:val="0"/>
          <w:bCs w:val="0"/>
          <w:sz w:val="20"/>
          <w:szCs w:val="20"/>
          <w:bdr w:val="none" w:sz="0" w:space="0" w:color="auto" w:frame="1"/>
        </w:rPr>
        <w:t xml:space="preserve">, 556 U.S. 662, 129 S.Ct. 1937, 1949-50 (2009) </w:t>
      </w:r>
      <w:r w:rsidRPr="002E3D2F">
        <w:rPr>
          <w:b w:val="0"/>
          <w:bCs w:val="0"/>
          <w:sz w:val="20"/>
          <w:szCs w:val="20"/>
          <w:shd w:val="clear" w:color="auto" w:fill="FFFFFF"/>
        </w:rPr>
        <w:t>(quoting </w:t>
      </w:r>
      <w:r w:rsidRPr="002E3D2F">
        <w:rPr>
          <w:b w:val="0"/>
          <w:bCs w:val="0"/>
          <w:i/>
          <w:iCs/>
          <w:sz w:val="20"/>
          <w:szCs w:val="20"/>
          <w:bdr w:val="none" w:sz="0" w:space="0" w:color="auto" w:frame="1"/>
        </w:rPr>
        <w:t>Bell Atl. Corp.,</w:t>
      </w:r>
      <w:r w:rsidRPr="002E3D2F">
        <w:rPr>
          <w:b w:val="0"/>
          <w:bCs w:val="0"/>
          <w:sz w:val="20"/>
          <w:szCs w:val="20"/>
          <w:shd w:val="clear" w:color="auto" w:fill="FFFFFF"/>
        </w:rPr>
        <w:t> 550 U.S. at 555).</w:t>
      </w:r>
    </w:p>
  </w:footnote>
  <w:footnote w:id="8">
    <w:p w14:paraId="4635203B" w14:textId="1A05CB86" w:rsidR="00296CAE" w:rsidRPr="002E3D2F" w:rsidRDefault="00296CAE" w:rsidP="00296CAE">
      <w:pPr>
        <w:pStyle w:val="FootnoteText"/>
        <w:rPr>
          <w:rFonts w:ascii="Times New Roman" w:hAnsi="Times New Roman" w:cs="Times New Roman"/>
        </w:rPr>
      </w:pPr>
      <w:r w:rsidRPr="002E3D2F">
        <w:rPr>
          <w:rStyle w:val="FootnoteReference"/>
          <w:rFonts w:ascii="Times New Roman" w:hAnsi="Times New Roman" w:cs="Times New Roman"/>
        </w:rPr>
        <w:footnoteRef/>
      </w:r>
      <w:r w:rsidRPr="002E3D2F">
        <w:rPr>
          <w:rFonts w:ascii="Times New Roman" w:hAnsi="Times New Roman" w:cs="Times New Roman"/>
        </w:rPr>
        <w:t xml:space="preserve"> </w:t>
      </w:r>
      <w:r w:rsidR="0004684E" w:rsidRPr="002E3D2F">
        <w:rPr>
          <w:rFonts w:ascii="Times New Roman" w:hAnsi="Times New Roman" w:cs="Times New Roman"/>
        </w:rPr>
        <w:t xml:space="preserve"> </w:t>
      </w:r>
      <w:r w:rsidRPr="002E3D2F">
        <w:rPr>
          <w:rFonts w:ascii="Times New Roman" w:hAnsi="Times New Roman" w:cs="Times New Roman"/>
          <w:i/>
          <w:iCs/>
        </w:rPr>
        <w:t>Id.</w:t>
      </w:r>
      <w:r w:rsidRPr="002E3D2F">
        <w:rPr>
          <w:rFonts w:ascii="Times New Roman" w:eastAsia="Times New Roman" w:hAnsi="Times New Roman" w:cs="Times New Roman"/>
          <w:i/>
          <w:iCs/>
          <w:bdr w:val="none" w:sz="0" w:space="0" w:color="auto" w:frame="1"/>
        </w:rPr>
        <w:t>, citing Iqbal,</w:t>
      </w:r>
      <w:r w:rsidRPr="002E3D2F">
        <w:rPr>
          <w:rFonts w:ascii="Times New Roman" w:eastAsia="Times New Roman" w:hAnsi="Times New Roman" w:cs="Times New Roman"/>
          <w:shd w:val="clear" w:color="auto" w:fill="FFFFFF"/>
        </w:rPr>
        <w:t> 129 S.Ct. at 1951.</w:t>
      </w:r>
    </w:p>
  </w:footnote>
  <w:footnote w:id="9">
    <w:p w14:paraId="7F225038" w14:textId="557DCF43" w:rsidR="00296CAE" w:rsidRPr="002E3D2F" w:rsidRDefault="00296CAE" w:rsidP="00296CAE">
      <w:pPr>
        <w:shd w:val="clear" w:color="auto" w:fill="FFFFFF"/>
        <w:textAlignment w:val="baseline"/>
        <w:rPr>
          <w:rFonts w:ascii="Times New Roman" w:eastAsia="Times New Roman" w:hAnsi="Times New Roman" w:cs="Times New Roman"/>
          <w:sz w:val="20"/>
          <w:szCs w:val="20"/>
        </w:rPr>
      </w:pPr>
      <w:r w:rsidRPr="002E3D2F">
        <w:rPr>
          <w:rStyle w:val="FootnoteReference"/>
          <w:rFonts w:ascii="Times New Roman" w:hAnsi="Times New Roman" w:cs="Times New Roman"/>
          <w:sz w:val="20"/>
          <w:szCs w:val="20"/>
        </w:rPr>
        <w:footnoteRef/>
      </w:r>
      <w:r w:rsidRPr="002E3D2F">
        <w:rPr>
          <w:rFonts w:ascii="Times New Roman" w:hAnsi="Times New Roman" w:cs="Times New Roman"/>
          <w:sz w:val="20"/>
          <w:szCs w:val="20"/>
        </w:rPr>
        <w:t xml:space="preserve"> </w:t>
      </w:r>
      <w:r w:rsidR="0004684E" w:rsidRPr="002E3D2F">
        <w:rPr>
          <w:rFonts w:ascii="Times New Roman" w:hAnsi="Times New Roman" w:cs="Times New Roman"/>
          <w:sz w:val="20"/>
          <w:szCs w:val="20"/>
        </w:rPr>
        <w:t xml:space="preserve"> </w:t>
      </w:r>
      <w:r w:rsidRPr="002E3D2F">
        <w:rPr>
          <w:rFonts w:ascii="Times New Roman" w:eastAsia="Times New Roman" w:hAnsi="Times New Roman" w:cs="Times New Roman"/>
          <w:i/>
          <w:iCs/>
          <w:sz w:val="20"/>
          <w:szCs w:val="20"/>
        </w:rPr>
        <w:t xml:space="preserve">Iannocchino </w:t>
      </w:r>
      <w:r w:rsidRPr="002E3D2F">
        <w:rPr>
          <w:rFonts w:ascii="Times New Roman" w:eastAsia="Times New Roman" w:hAnsi="Times New Roman" w:cs="Times New Roman"/>
          <w:sz w:val="20"/>
          <w:szCs w:val="20"/>
        </w:rPr>
        <w:t>451 Mass. at 636 quoting </w:t>
      </w:r>
      <w:r w:rsidRPr="002E3D2F">
        <w:rPr>
          <w:rFonts w:ascii="Times New Roman" w:eastAsia="Times New Roman" w:hAnsi="Times New Roman" w:cs="Times New Roman"/>
          <w:i/>
          <w:iCs/>
          <w:sz w:val="20"/>
          <w:szCs w:val="20"/>
        </w:rPr>
        <w:t>Bell Atl. Corp.</w:t>
      </w:r>
      <w:r w:rsidRPr="002E3D2F">
        <w:rPr>
          <w:rFonts w:ascii="Times New Roman" w:eastAsia="Times New Roman" w:hAnsi="Times New Roman" w:cs="Times New Roman"/>
          <w:sz w:val="20"/>
          <w:szCs w:val="20"/>
        </w:rPr>
        <w:t xml:space="preserve">, 550 U.S. at 555 (internal citations omitted); </w:t>
      </w:r>
      <w:r w:rsidRPr="002E3D2F">
        <w:rPr>
          <w:rFonts w:ascii="Times New Roman" w:eastAsia="Times New Roman" w:hAnsi="Times New Roman" w:cs="Times New Roman"/>
          <w:sz w:val="20"/>
          <w:szCs w:val="20"/>
          <w:u w:val="single"/>
        </w:rPr>
        <w:t>see</w:t>
      </w:r>
      <w:r w:rsidRPr="002E3D2F">
        <w:rPr>
          <w:rFonts w:ascii="Times New Roman" w:eastAsia="Times New Roman" w:hAnsi="Times New Roman" w:cs="Times New Roman"/>
          <w:sz w:val="20"/>
          <w:szCs w:val="20"/>
        </w:rPr>
        <w:t xml:space="preserve"> </w:t>
      </w:r>
      <w:r w:rsidRPr="002E3D2F">
        <w:rPr>
          <w:rFonts w:ascii="Times New Roman" w:eastAsia="Times New Roman" w:hAnsi="Times New Roman" w:cs="Times New Roman"/>
          <w:sz w:val="20"/>
          <w:szCs w:val="20"/>
          <w:u w:val="single"/>
        </w:rPr>
        <w:t>also</w:t>
      </w:r>
      <w:r w:rsidRPr="002E3D2F">
        <w:rPr>
          <w:rFonts w:ascii="Times New Roman" w:eastAsia="Times New Roman" w:hAnsi="Times New Roman" w:cs="Times New Roman"/>
          <w:sz w:val="20"/>
          <w:szCs w:val="20"/>
        </w:rPr>
        <w:t xml:space="preserve"> </w:t>
      </w:r>
      <w:r w:rsidR="00E219EF" w:rsidRPr="002E3D2F">
        <w:rPr>
          <w:rFonts w:ascii="Times New Roman" w:hAnsi="Times New Roman" w:cs="Times New Roman"/>
          <w:i/>
          <w:iCs/>
          <w:sz w:val="20"/>
          <w:szCs w:val="20"/>
        </w:rPr>
        <w:t>Ocasio-Hernandez</w:t>
      </w:r>
      <w:r w:rsidR="00E219EF" w:rsidRPr="002E3D2F">
        <w:rPr>
          <w:rFonts w:ascii="Times New Roman" w:hAnsi="Times New Roman" w:cs="Times New Roman"/>
          <w:sz w:val="20"/>
          <w:szCs w:val="20"/>
        </w:rPr>
        <w:t>, 640 F.3d at 12</w:t>
      </w:r>
      <w:r w:rsidRPr="002E3D2F">
        <w:rPr>
          <w:rFonts w:ascii="Times New Roman" w:eastAsia="Times New Roman" w:hAnsi="Times New Roman" w:cs="Times New Roman"/>
          <w:sz w:val="20"/>
          <w:szCs w:val="20"/>
        </w:rPr>
        <w:t>.</w:t>
      </w:r>
    </w:p>
  </w:footnote>
  <w:footnote w:id="10">
    <w:p w14:paraId="26E7287B" w14:textId="13B135F6" w:rsidR="004E1280" w:rsidRPr="002E3D2F" w:rsidRDefault="004E1280">
      <w:pPr>
        <w:pStyle w:val="FootnoteText"/>
        <w:rPr>
          <w:rFonts w:ascii="Times New Roman" w:hAnsi="Times New Roman" w:cs="Times New Roman"/>
        </w:rPr>
      </w:pPr>
      <w:r w:rsidRPr="002E3D2F">
        <w:rPr>
          <w:rStyle w:val="FootnoteReference"/>
          <w:rFonts w:ascii="Times New Roman" w:hAnsi="Times New Roman" w:cs="Times New Roman"/>
        </w:rPr>
        <w:footnoteRef/>
      </w:r>
      <w:r w:rsidRPr="002E3D2F">
        <w:rPr>
          <w:rFonts w:ascii="Times New Roman" w:hAnsi="Times New Roman" w:cs="Times New Roman"/>
        </w:rPr>
        <w:t xml:space="preserve"> </w:t>
      </w:r>
      <w:r w:rsidR="007240B1">
        <w:rPr>
          <w:rFonts w:ascii="Times New Roman" w:hAnsi="Times New Roman" w:cs="Times New Roman"/>
        </w:rPr>
        <w:t xml:space="preserve"> </w:t>
      </w:r>
      <w:r w:rsidR="000158A6">
        <w:rPr>
          <w:rFonts w:ascii="Times New Roman" w:hAnsi="Times New Roman" w:cs="Times New Roman"/>
        </w:rPr>
        <w:t xml:space="preserve">See also </w:t>
      </w:r>
      <w:r w:rsidRPr="002E3D2F">
        <w:rPr>
          <w:rFonts w:ascii="Times New Roman" w:hAnsi="Times New Roman" w:cs="Times New Roman"/>
        </w:rPr>
        <w:t>34 CFR 300.507(a)(1); 603 CMR 28.08(3)(a), providing for the BSEA to hear “… any matter concerning the eligibility, evaluation, placement, IEP, provision of special education in accordance with state and federal law or the procedural protections of state and federal law for students with disabilities</w:t>
      </w:r>
      <w:r w:rsidR="00B55821">
        <w:rPr>
          <w:rFonts w:ascii="Times New Roman" w:hAnsi="Times New Roman" w:cs="Times New Roman"/>
        </w:rPr>
        <w:t>”</w:t>
      </w:r>
      <w:r w:rsidR="005717B1">
        <w:rPr>
          <w:rFonts w:ascii="Times New Roman" w:hAnsi="Times New Roman" w:cs="Times New Roman"/>
        </w:rPr>
        <w:t>.</w:t>
      </w:r>
    </w:p>
  </w:footnote>
  <w:footnote w:id="11">
    <w:p w14:paraId="1118C237" w14:textId="11E4F3D9" w:rsidR="00FD6B82" w:rsidRPr="002E3D2F" w:rsidRDefault="00FD6B82">
      <w:pPr>
        <w:pStyle w:val="FootnoteText"/>
        <w:rPr>
          <w:rFonts w:ascii="Times New Roman" w:hAnsi="Times New Roman" w:cs="Times New Roman"/>
        </w:rPr>
      </w:pPr>
      <w:r w:rsidRPr="002E3D2F">
        <w:rPr>
          <w:rStyle w:val="FootnoteReference"/>
          <w:rFonts w:ascii="Times New Roman" w:hAnsi="Times New Roman" w:cs="Times New Roman"/>
        </w:rPr>
        <w:footnoteRef/>
      </w:r>
      <w:r w:rsidRPr="002E3D2F">
        <w:rPr>
          <w:rFonts w:ascii="Times New Roman" w:hAnsi="Times New Roman" w:cs="Times New Roman"/>
        </w:rPr>
        <w:t xml:space="preserve"> </w:t>
      </w:r>
      <w:r w:rsidR="00613566" w:rsidRPr="002E3D2F">
        <w:rPr>
          <w:rFonts w:ascii="Times New Roman" w:hAnsi="Times New Roman" w:cs="Times New Roman"/>
        </w:rPr>
        <w:t xml:space="preserve"> </w:t>
      </w:r>
      <w:r w:rsidRPr="00FD6B82">
        <w:rPr>
          <w:rFonts w:ascii="Times New Roman" w:eastAsia="Times New Roman" w:hAnsi="Times New Roman" w:cs="Times New Roman"/>
          <w:i/>
          <w:iCs/>
          <w:color w:val="000000"/>
        </w:rPr>
        <w:t>Diaz-Fonseca v. Puerto Rico</w:t>
      </w:r>
      <w:r w:rsidRPr="00FD6B82">
        <w:rPr>
          <w:rFonts w:ascii="Times New Roman" w:eastAsia="Times New Roman" w:hAnsi="Times New Roman" w:cs="Times New Roman"/>
          <w:color w:val="000000"/>
        </w:rPr>
        <w:t>, 451 F.3d 13, 36 (1st Cir. 2006)</w:t>
      </w:r>
    </w:p>
  </w:footnote>
  <w:footnote w:id="12">
    <w:p w14:paraId="0781DEC1" w14:textId="28B06379" w:rsidR="00EC2358" w:rsidRPr="002E3D2F" w:rsidRDefault="00EC2358">
      <w:pPr>
        <w:pStyle w:val="FootnoteText"/>
        <w:rPr>
          <w:rFonts w:ascii="Times New Roman" w:hAnsi="Times New Roman" w:cs="Times New Roman"/>
        </w:rPr>
      </w:pPr>
      <w:r w:rsidRPr="002E3D2F">
        <w:rPr>
          <w:rStyle w:val="FootnoteReference"/>
          <w:rFonts w:ascii="Times New Roman" w:hAnsi="Times New Roman" w:cs="Times New Roman"/>
        </w:rPr>
        <w:footnoteRef/>
      </w:r>
      <w:r w:rsidRPr="002E3D2F">
        <w:rPr>
          <w:rFonts w:ascii="Times New Roman" w:hAnsi="Times New Roman" w:cs="Times New Roman"/>
        </w:rPr>
        <w:t xml:space="preserve"> </w:t>
      </w:r>
      <w:r w:rsidR="00613566" w:rsidRPr="002E3D2F">
        <w:rPr>
          <w:rFonts w:ascii="Times New Roman" w:hAnsi="Times New Roman" w:cs="Times New Roman"/>
        </w:rPr>
        <w:t xml:space="preserve"> </w:t>
      </w:r>
      <w:r w:rsidRPr="002E3D2F">
        <w:rPr>
          <w:rFonts w:ascii="Times New Roman" w:hAnsi="Times New Roman" w:cs="Times New Roman"/>
          <w:i/>
          <w:iCs/>
        </w:rPr>
        <w:t>Id.</w:t>
      </w:r>
      <w:r w:rsidR="00F20084" w:rsidRPr="002E3D2F">
        <w:rPr>
          <w:rFonts w:ascii="Times New Roman" w:hAnsi="Times New Roman" w:cs="Times New Roman"/>
          <w:i/>
          <w:iCs/>
        </w:rPr>
        <w:t xml:space="preserve"> </w:t>
      </w:r>
      <w:r w:rsidR="00F20084" w:rsidRPr="002E3D2F">
        <w:rPr>
          <w:rFonts w:ascii="Times New Roman" w:hAnsi="Times New Roman" w:cs="Times New Roman"/>
        </w:rPr>
        <w:t>at 37.</w:t>
      </w:r>
    </w:p>
  </w:footnote>
  <w:footnote w:id="13">
    <w:p w14:paraId="695FDE72" w14:textId="3EB40A9C" w:rsidR="003C192D" w:rsidRPr="002E3D2F" w:rsidRDefault="003C192D" w:rsidP="003C192D">
      <w:pPr>
        <w:shd w:val="clear" w:color="auto" w:fill="FFFFFF"/>
        <w:rPr>
          <w:rFonts w:ascii="Times New Roman" w:eastAsia="Times New Roman" w:hAnsi="Times New Roman" w:cs="Times New Roman"/>
          <w:color w:val="000000"/>
          <w:sz w:val="20"/>
          <w:szCs w:val="20"/>
        </w:rPr>
      </w:pPr>
      <w:r w:rsidRPr="002E3D2F">
        <w:rPr>
          <w:rStyle w:val="FootnoteReference"/>
          <w:rFonts w:ascii="Times New Roman" w:hAnsi="Times New Roman" w:cs="Times New Roman"/>
          <w:sz w:val="20"/>
          <w:szCs w:val="20"/>
        </w:rPr>
        <w:footnoteRef/>
      </w:r>
      <w:r w:rsidRPr="002E3D2F">
        <w:rPr>
          <w:rFonts w:ascii="Times New Roman" w:hAnsi="Times New Roman" w:cs="Times New Roman"/>
          <w:sz w:val="20"/>
          <w:szCs w:val="20"/>
        </w:rPr>
        <w:t xml:space="preserve"> </w:t>
      </w:r>
      <w:r w:rsidR="00613566" w:rsidRPr="002E3D2F">
        <w:rPr>
          <w:rFonts w:ascii="Times New Roman" w:hAnsi="Times New Roman" w:cs="Times New Roman"/>
          <w:sz w:val="20"/>
          <w:szCs w:val="20"/>
        </w:rPr>
        <w:t xml:space="preserve"> </w:t>
      </w:r>
      <w:r w:rsidRPr="0040181E">
        <w:rPr>
          <w:rFonts w:ascii="Times New Roman" w:eastAsia="Times New Roman" w:hAnsi="Times New Roman" w:cs="Times New Roman"/>
          <w:i/>
          <w:iCs/>
          <w:color w:val="000000"/>
          <w:sz w:val="20"/>
          <w:szCs w:val="20"/>
        </w:rPr>
        <w:t>Nieves-Marquez v. Puerto Rico</w:t>
      </w:r>
      <w:r w:rsidRPr="0040181E">
        <w:rPr>
          <w:rFonts w:ascii="Times New Roman" w:eastAsia="Times New Roman" w:hAnsi="Times New Roman" w:cs="Times New Roman"/>
          <w:color w:val="000000"/>
          <w:sz w:val="20"/>
          <w:szCs w:val="20"/>
        </w:rPr>
        <w:t>, 353 F.3d 108, 124 (1st Cir. 2003)</w:t>
      </w:r>
      <w:r w:rsidRPr="002E3D2F">
        <w:rPr>
          <w:rFonts w:ascii="Times New Roman" w:eastAsia="Times New Roman" w:hAnsi="Times New Roman" w:cs="Times New Roman"/>
          <w:color w:val="000000"/>
          <w:sz w:val="20"/>
          <w:szCs w:val="20"/>
        </w:rPr>
        <w:t xml:space="preserve">; see </w:t>
      </w:r>
      <w:r w:rsidR="009E193F" w:rsidRPr="002E3D2F">
        <w:rPr>
          <w:rFonts w:ascii="Times New Roman" w:eastAsia="Times New Roman" w:hAnsi="Times New Roman" w:cs="Times New Roman"/>
          <w:color w:val="000000"/>
          <w:sz w:val="20"/>
          <w:szCs w:val="20"/>
        </w:rPr>
        <w:t xml:space="preserve">20 U.S.C. § 1412(a)(10)(C)(ii); </w:t>
      </w:r>
      <w:r w:rsidRPr="002E3D2F">
        <w:rPr>
          <w:rFonts w:ascii="Times New Roman" w:eastAsia="Times New Roman" w:hAnsi="Times New Roman" w:cs="Times New Roman"/>
          <w:i/>
          <w:iCs/>
          <w:color w:val="000000"/>
          <w:sz w:val="20"/>
          <w:szCs w:val="20"/>
        </w:rPr>
        <w:t>Diaz-Fonseca</w:t>
      </w:r>
      <w:r w:rsidRPr="002E3D2F">
        <w:rPr>
          <w:rFonts w:ascii="Times New Roman" w:eastAsia="Times New Roman" w:hAnsi="Times New Roman" w:cs="Times New Roman"/>
          <w:color w:val="000000"/>
          <w:sz w:val="20"/>
          <w:szCs w:val="20"/>
        </w:rPr>
        <w:t xml:space="preserve"> 451 F.3d at </w:t>
      </w:r>
      <w:r w:rsidR="00206507" w:rsidRPr="002E3D2F">
        <w:rPr>
          <w:rFonts w:ascii="Times New Roman" w:eastAsia="Times New Roman" w:hAnsi="Times New Roman" w:cs="Times New Roman"/>
          <w:color w:val="000000"/>
          <w:sz w:val="20"/>
          <w:szCs w:val="20"/>
        </w:rPr>
        <w:t>31</w:t>
      </w:r>
      <w:r w:rsidR="00AC6406" w:rsidRPr="002E3D2F">
        <w:rPr>
          <w:rFonts w:ascii="Times New Roman" w:eastAsia="Times New Roman" w:hAnsi="Times New Roman" w:cs="Times New Roman"/>
          <w:color w:val="000000"/>
          <w:sz w:val="20"/>
          <w:szCs w:val="20"/>
        </w:rPr>
        <w:t xml:space="preserve"> explaining that “[i]n fashioning appropriate relief, courts have generally interpreted the IDEA as allowing reimbursement for the cost not only of private school tuition, but also of </w:t>
      </w:r>
      <w:r w:rsidR="00BF44BE">
        <w:rPr>
          <w:rFonts w:ascii="Times New Roman" w:eastAsia="Times New Roman" w:hAnsi="Times New Roman" w:cs="Times New Roman"/>
          <w:color w:val="000000"/>
          <w:sz w:val="20"/>
          <w:szCs w:val="20"/>
        </w:rPr>
        <w:t>‘</w:t>
      </w:r>
      <w:r w:rsidR="00AC6406" w:rsidRPr="002E3D2F">
        <w:rPr>
          <w:rFonts w:ascii="Times New Roman" w:eastAsia="Times New Roman" w:hAnsi="Times New Roman" w:cs="Times New Roman"/>
          <w:color w:val="000000"/>
          <w:sz w:val="20"/>
          <w:szCs w:val="20"/>
        </w:rPr>
        <w:t>related services</w:t>
      </w:r>
      <w:r w:rsidR="00BF44BE">
        <w:rPr>
          <w:rFonts w:ascii="Times New Roman" w:eastAsia="Times New Roman" w:hAnsi="Times New Roman" w:cs="Times New Roman"/>
          <w:color w:val="000000"/>
          <w:sz w:val="20"/>
          <w:szCs w:val="20"/>
        </w:rPr>
        <w:t>’</w:t>
      </w:r>
      <w:r w:rsidR="00AC6406" w:rsidRPr="002E3D2F">
        <w:rPr>
          <w:rFonts w:ascii="Times New Roman" w:eastAsia="Times New Roman" w:hAnsi="Times New Roman" w:cs="Times New Roman"/>
          <w:color w:val="000000"/>
          <w:sz w:val="20"/>
          <w:szCs w:val="20"/>
        </w:rPr>
        <w:t>,</w:t>
      </w:r>
      <w:r w:rsidR="00767E1B">
        <w:rPr>
          <w:rFonts w:ascii="Times New Roman" w:eastAsia="Times New Roman" w:hAnsi="Times New Roman" w:cs="Times New Roman"/>
          <w:color w:val="000000"/>
          <w:sz w:val="20"/>
          <w:szCs w:val="20"/>
        </w:rPr>
        <w:t xml:space="preserve"> </w:t>
      </w:r>
      <w:r w:rsidR="00826821" w:rsidRPr="002E3D2F">
        <w:rPr>
          <w:rFonts w:ascii="Times New Roman" w:eastAsia="Times New Roman" w:hAnsi="Times New Roman" w:cs="Times New Roman"/>
          <w:color w:val="000000"/>
          <w:sz w:val="20"/>
          <w:szCs w:val="20"/>
        </w:rPr>
        <w:t>[defined in the IDEA as] ‘</w:t>
      </w:r>
      <w:r w:rsidR="00AC6406" w:rsidRPr="002E3D2F">
        <w:rPr>
          <w:rFonts w:ascii="Times New Roman" w:eastAsia="Times New Roman" w:hAnsi="Times New Roman" w:cs="Times New Roman"/>
          <w:color w:val="000000"/>
          <w:sz w:val="20"/>
          <w:szCs w:val="20"/>
        </w:rPr>
        <w:t xml:space="preserve">transportation, and such developmental, corrective, and other supportive services </w:t>
      </w:r>
      <w:r w:rsidR="00826821" w:rsidRPr="002E3D2F">
        <w:rPr>
          <w:rFonts w:ascii="Times New Roman" w:eastAsia="Times New Roman" w:hAnsi="Times New Roman" w:cs="Times New Roman"/>
          <w:color w:val="000000"/>
          <w:sz w:val="20"/>
          <w:szCs w:val="20"/>
        </w:rPr>
        <w:t xml:space="preserve">…. </w:t>
      </w:r>
      <w:r w:rsidR="00AC6406" w:rsidRPr="002E3D2F">
        <w:rPr>
          <w:rFonts w:ascii="Times New Roman" w:eastAsia="Times New Roman" w:hAnsi="Times New Roman" w:cs="Times New Roman"/>
          <w:color w:val="000000"/>
          <w:sz w:val="20"/>
          <w:szCs w:val="20"/>
        </w:rPr>
        <w:t>as may be required to assist a child with a disability to benefit from special education</w:t>
      </w:r>
      <w:r w:rsidR="00826821" w:rsidRPr="002E3D2F">
        <w:rPr>
          <w:rFonts w:ascii="Times New Roman" w:eastAsia="Times New Roman" w:hAnsi="Times New Roman" w:cs="Times New Roman"/>
          <w:color w:val="000000"/>
          <w:sz w:val="20"/>
          <w:szCs w:val="20"/>
        </w:rPr>
        <w:t>’</w:t>
      </w:r>
      <w:r w:rsidR="00AC6406" w:rsidRPr="002E3D2F">
        <w:rPr>
          <w:rFonts w:ascii="Times New Roman" w:eastAsia="Times New Roman" w:hAnsi="Times New Roman" w:cs="Times New Roman"/>
          <w:color w:val="000000"/>
          <w:sz w:val="20"/>
          <w:szCs w:val="20"/>
        </w:rPr>
        <w:t>”</w:t>
      </w:r>
      <w:r w:rsidR="00826821" w:rsidRPr="002E3D2F">
        <w:rPr>
          <w:rFonts w:ascii="Times New Roman" w:eastAsia="Times New Roman" w:hAnsi="Times New Roman" w:cs="Times New Roman"/>
          <w:color w:val="000000"/>
          <w:sz w:val="20"/>
          <w:szCs w:val="20"/>
        </w:rPr>
        <w:t>.</w:t>
      </w:r>
    </w:p>
  </w:footnote>
  <w:footnote w:id="14">
    <w:p w14:paraId="56E82055" w14:textId="76EC5AEF" w:rsidR="00613566" w:rsidRPr="002E3D2F" w:rsidRDefault="00613566">
      <w:pPr>
        <w:pStyle w:val="FootnoteText"/>
        <w:rPr>
          <w:rFonts w:ascii="Times New Roman" w:hAnsi="Times New Roman" w:cs="Times New Roman"/>
        </w:rPr>
      </w:pPr>
      <w:r w:rsidRPr="002E3D2F">
        <w:rPr>
          <w:rStyle w:val="FootnoteReference"/>
          <w:rFonts w:ascii="Times New Roman" w:hAnsi="Times New Roman" w:cs="Times New Roman"/>
        </w:rPr>
        <w:footnoteRef/>
      </w:r>
      <w:r w:rsidRPr="002E3D2F">
        <w:rPr>
          <w:rFonts w:ascii="Times New Roman" w:hAnsi="Times New Roman" w:cs="Times New Roman"/>
        </w:rPr>
        <w:t xml:space="preserve">  </w:t>
      </w:r>
      <w:r w:rsidR="00426269" w:rsidRPr="002E3D2F">
        <w:rPr>
          <w:rFonts w:ascii="Times New Roman" w:hAnsi="Times New Roman" w:cs="Times New Roman"/>
        </w:rPr>
        <w:t xml:space="preserve">20 USC 1415(f)(3)(C); </w:t>
      </w:r>
      <w:r w:rsidRPr="002E3D2F">
        <w:rPr>
          <w:rFonts w:ascii="Times New Roman" w:hAnsi="Times New Roman" w:cs="Times New Roman"/>
        </w:rPr>
        <w:t>34 CFR 300.507(a)(2)</w:t>
      </w:r>
      <w:r w:rsidR="00203B36" w:rsidRPr="002E3D2F">
        <w:rPr>
          <w:rFonts w:ascii="Times New Roman" w:hAnsi="Times New Roman" w:cs="Times New Roman"/>
        </w:rPr>
        <w:t>; 34 CFR 300.511(e)</w:t>
      </w:r>
      <w:r w:rsidRPr="002E3D2F">
        <w:rPr>
          <w:rFonts w:ascii="Times New Roman" w:hAnsi="Times New Roman" w:cs="Times New Roman"/>
        </w:rPr>
        <w:t xml:space="preserve">.  Massachusetts </w:t>
      </w:r>
      <w:r w:rsidR="00B710BE" w:rsidRPr="002E3D2F">
        <w:rPr>
          <w:rFonts w:ascii="Times New Roman" w:hAnsi="Times New Roman" w:cs="Times New Roman"/>
        </w:rPr>
        <w:t xml:space="preserve">does not have a different limitation period </w:t>
      </w:r>
      <w:r w:rsidR="003620C0">
        <w:rPr>
          <w:rFonts w:ascii="Times New Roman" w:hAnsi="Times New Roman" w:cs="Times New Roman"/>
        </w:rPr>
        <w:t xml:space="preserve">for </w:t>
      </w:r>
      <w:r w:rsidR="0098673C" w:rsidRPr="002E3D2F">
        <w:rPr>
          <w:rFonts w:ascii="Times New Roman" w:hAnsi="Times New Roman" w:cs="Times New Roman"/>
        </w:rPr>
        <w:t>special education due process proceedings.</w:t>
      </w:r>
    </w:p>
  </w:footnote>
  <w:footnote w:id="15">
    <w:p w14:paraId="184149E6" w14:textId="3F370589" w:rsidR="00BE2AA9" w:rsidRPr="002E3D2F" w:rsidRDefault="00BE2AA9">
      <w:pPr>
        <w:pStyle w:val="FootnoteText"/>
        <w:rPr>
          <w:rFonts w:ascii="Times New Roman" w:hAnsi="Times New Roman" w:cs="Times New Roman"/>
        </w:rPr>
      </w:pPr>
      <w:r w:rsidRPr="002E3D2F">
        <w:rPr>
          <w:rStyle w:val="FootnoteReference"/>
          <w:rFonts w:ascii="Times New Roman" w:hAnsi="Times New Roman" w:cs="Times New Roman"/>
        </w:rPr>
        <w:footnoteRef/>
      </w:r>
      <w:r w:rsidRPr="002E3D2F">
        <w:rPr>
          <w:rFonts w:ascii="Times New Roman" w:hAnsi="Times New Roman" w:cs="Times New Roman"/>
        </w:rPr>
        <w:t xml:space="preserve"> </w:t>
      </w:r>
      <w:r w:rsidR="002E3D2F" w:rsidRPr="002E3D2F">
        <w:rPr>
          <w:rFonts w:ascii="Times New Roman" w:hAnsi="Times New Roman" w:cs="Times New Roman"/>
        </w:rPr>
        <w:t xml:space="preserve"> </w:t>
      </w:r>
      <w:r w:rsidRPr="002E3D2F">
        <w:rPr>
          <w:rFonts w:ascii="Times New Roman" w:hAnsi="Times New Roman" w:cs="Times New Roman"/>
        </w:rPr>
        <w:t>20 USC 1415(f)(3)(D); 34 CFR 300.511(f).</w:t>
      </w:r>
    </w:p>
  </w:footnote>
  <w:footnote w:id="16">
    <w:p w14:paraId="49ECE136" w14:textId="2042D6CC" w:rsidR="00BE2AA9" w:rsidRPr="002E3D2F" w:rsidRDefault="00BE2AA9">
      <w:pPr>
        <w:pStyle w:val="FootnoteText"/>
        <w:rPr>
          <w:rFonts w:ascii="Times New Roman" w:hAnsi="Times New Roman" w:cs="Times New Roman"/>
        </w:rPr>
      </w:pPr>
      <w:r w:rsidRPr="002E3D2F">
        <w:rPr>
          <w:rStyle w:val="FootnoteReference"/>
          <w:rFonts w:ascii="Times New Roman" w:hAnsi="Times New Roman" w:cs="Times New Roman"/>
        </w:rPr>
        <w:footnoteRef/>
      </w:r>
      <w:r w:rsidRPr="002E3D2F">
        <w:rPr>
          <w:rFonts w:ascii="Times New Roman" w:hAnsi="Times New Roman" w:cs="Times New Roman"/>
        </w:rPr>
        <w:t xml:space="preserve"> </w:t>
      </w:r>
      <w:r w:rsidR="002E3D2F" w:rsidRPr="002E3D2F">
        <w:rPr>
          <w:rFonts w:ascii="Times New Roman" w:hAnsi="Times New Roman" w:cs="Times New Roman"/>
        </w:rPr>
        <w:t xml:space="preserve"> </w:t>
      </w:r>
      <w:r w:rsidRPr="002E3D2F">
        <w:rPr>
          <w:rFonts w:ascii="Times New Roman" w:hAnsi="Times New Roman" w:cs="Times New Roman"/>
          <w:i/>
          <w:iCs/>
        </w:rPr>
        <w:t>Id.</w:t>
      </w:r>
    </w:p>
  </w:footnote>
  <w:footnote w:id="17">
    <w:p w14:paraId="7F240A1A" w14:textId="77777777" w:rsidR="0038602B" w:rsidRPr="002E3D2F" w:rsidRDefault="0038602B" w:rsidP="0038602B">
      <w:pPr>
        <w:pStyle w:val="FootnoteText"/>
        <w:rPr>
          <w:rFonts w:ascii="Times New Roman" w:hAnsi="Times New Roman" w:cs="Times New Roman"/>
        </w:rPr>
      </w:pPr>
      <w:r w:rsidRPr="002E3D2F">
        <w:rPr>
          <w:rStyle w:val="FootnoteReference"/>
          <w:rFonts w:ascii="Times New Roman" w:hAnsi="Times New Roman" w:cs="Times New Roman"/>
        </w:rPr>
        <w:footnoteRef/>
      </w:r>
      <w:r w:rsidRPr="002E3D2F">
        <w:rPr>
          <w:rFonts w:ascii="Times New Roman" w:hAnsi="Times New Roman" w:cs="Times New Roman"/>
        </w:rPr>
        <w:t xml:space="preserve">  </w:t>
      </w:r>
      <w:r w:rsidRPr="002E3D2F">
        <w:rPr>
          <w:rFonts w:ascii="Times New Roman" w:eastAsia="Times New Roman" w:hAnsi="Times New Roman" w:cs="Times New Roman"/>
          <w:i/>
          <w:iCs/>
        </w:rPr>
        <w:t xml:space="preserve">Iannocchino </w:t>
      </w:r>
      <w:r w:rsidRPr="002E3D2F">
        <w:rPr>
          <w:rFonts w:ascii="Times New Roman" w:eastAsia="Times New Roman" w:hAnsi="Times New Roman" w:cs="Times New Roman"/>
        </w:rPr>
        <w:t>451 Mass. at 636 quoting </w:t>
      </w:r>
      <w:r w:rsidRPr="002E3D2F">
        <w:rPr>
          <w:rFonts w:ascii="Times New Roman" w:eastAsia="Times New Roman" w:hAnsi="Times New Roman" w:cs="Times New Roman"/>
          <w:i/>
          <w:iCs/>
        </w:rPr>
        <w:t>Bell Atl. Corp.</w:t>
      </w:r>
      <w:r w:rsidRPr="002E3D2F">
        <w:rPr>
          <w:rFonts w:ascii="Times New Roman" w:eastAsia="Times New Roman" w:hAnsi="Times New Roman" w:cs="Times New Roman"/>
        </w:rPr>
        <w:t>, 550 U.S. at 555 (internal citations omitted).</w:t>
      </w:r>
    </w:p>
  </w:footnote>
  <w:footnote w:id="18">
    <w:p w14:paraId="5A4EAC58" w14:textId="6EC1DF32" w:rsidR="00F419B5" w:rsidRDefault="00F419B5">
      <w:pPr>
        <w:pStyle w:val="FootnoteText"/>
      </w:pPr>
      <w:r>
        <w:rPr>
          <w:rStyle w:val="FootnoteReference"/>
        </w:rPr>
        <w:footnoteRef/>
      </w:r>
      <w:r w:rsidR="00046EF5">
        <w:rPr>
          <w:rFonts w:ascii="Times New Roman" w:eastAsia="Times New Roman" w:hAnsi="Times New Roman" w:cs="Times New Roman"/>
        </w:rPr>
        <w:t xml:space="preserve">  Additionally, </w:t>
      </w:r>
      <w:r w:rsidR="00305E4D">
        <w:rPr>
          <w:rFonts w:ascii="Times New Roman" w:eastAsia="Times New Roman" w:hAnsi="Times New Roman" w:cs="Times New Roman"/>
        </w:rPr>
        <w:t xml:space="preserve">even if the statute of limitations had not been determinative in the instant matter, </w:t>
      </w:r>
      <w:r w:rsidR="00046EF5">
        <w:rPr>
          <w:rFonts w:ascii="Times New Roman" w:eastAsia="Times New Roman" w:hAnsi="Times New Roman" w:cs="Times New Roman"/>
        </w:rPr>
        <w:t xml:space="preserve">I note that </w:t>
      </w:r>
      <w:r w:rsidRPr="00046EF5">
        <w:rPr>
          <w:rFonts w:ascii="Times New Roman" w:eastAsia="Times New Roman" w:hAnsi="Times New Roman" w:cs="Times New Roman"/>
        </w:rPr>
        <w:t xml:space="preserve">Parent’s sole requested relief of “penal damages” against the District, </w:t>
      </w:r>
      <w:r w:rsidR="00305E4D">
        <w:rPr>
          <w:rFonts w:ascii="Times New Roman" w:eastAsia="Times New Roman" w:hAnsi="Times New Roman" w:cs="Times New Roman"/>
        </w:rPr>
        <w:t xml:space="preserve">is </w:t>
      </w:r>
      <w:r w:rsidRPr="00046EF5">
        <w:rPr>
          <w:rFonts w:ascii="Times New Roman" w:eastAsia="Times New Roman" w:hAnsi="Times New Roman" w:cs="Times New Roman"/>
        </w:rPr>
        <w:t xml:space="preserve">not </w:t>
      </w:r>
      <w:r w:rsidR="00305E4D">
        <w:rPr>
          <w:rFonts w:ascii="Times New Roman" w:eastAsia="Times New Roman" w:hAnsi="Times New Roman" w:cs="Times New Roman"/>
        </w:rPr>
        <w:t xml:space="preserve">relief </w:t>
      </w:r>
      <w:r w:rsidRPr="00046EF5">
        <w:rPr>
          <w:rFonts w:ascii="Times New Roman" w:eastAsia="Times New Roman" w:hAnsi="Times New Roman" w:cs="Times New Roman"/>
        </w:rPr>
        <w:t xml:space="preserve">available in this forum for the reasons explained </w:t>
      </w:r>
      <w:r w:rsidRPr="00046EF5">
        <w:rPr>
          <w:rFonts w:ascii="Times New Roman" w:eastAsia="Times New Roman" w:hAnsi="Times New Roman" w:cs="Times New Roman"/>
          <w:i/>
          <w:iCs/>
        </w:rPr>
        <w:t>supra</w:t>
      </w:r>
      <w:r w:rsidR="00046EF5">
        <w:rPr>
          <w:rFonts w:ascii="Times New Roman" w:eastAsia="Times New Roman" w:hAnsi="Times New Roman" w:cs="Times New Roman"/>
          <w:i/>
          <w:iCs/>
        </w:rPr>
        <w:t>.</w:t>
      </w:r>
      <w:r w:rsidR="00E5048D">
        <w:rPr>
          <w:rFonts w:ascii="Times New Roman" w:eastAsia="Times New Roman" w:hAnsi="Times New Roman" w:cs="Times New Roman"/>
          <w:i/>
          <w:iCs/>
        </w:rPr>
        <w:t xml:space="preserve">  </w:t>
      </w:r>
      <w:r w:rsidR="00E5048D" w:rsidRPr="0040181E">
        <w:rPr>
          <w:rFonts w:ascii="Times New Roman" w:eastAsia="Times New Roman" w:hAnsi="Times New Roman" w:cs="Times New Roman"/>
          <w:i/>
          <w:iCs/>
          <w:color w:val="000000"/>
        </w:rPr>
        <w:t>Nieves-Marquez</w:t>
      </w:r>
      <w:r w:rsidR="00E5048D" w:rsidRPr="0040181E">
        <w:rPr>
          <w:rFonts w:ascii="Times New Roman" w:eastAsia="Times New Roman" w:hAnsi="Times New Roman" w:cs="Times New Roman"/>
          <w:color w:val="000000"/>
        </w:rPr>
        <w:t xml:space="preserve">, 353 F.3d </w:t>
      </w:r>
      <w:r w:rsidR="00E5048D" w:rsidRPr="002E3D2F">
        <w:rPr>
          <w:rFonts w:ascii="Times New Roman" w:eastAsia="Times New Roman" w:hAnsi="Times New Roman" w:cs="Times New Roman"/>
          <w:color w:val="000000"/>
        </w:rPr>
        <w:t xml:space="preserve">at </w:t>
      </w:r>
      <w:r w:rsidR="00E5048D" w:rsidRPr="0040181E">
        <w:rPr>
          <w:rFonts w:ascii="Times New Roman" w:eastAsia="Times New Roman" w:hAnsi="Times New Roman" w:cs="Times New Roman"/>
          <w:color w:val="000000"/>
        </w:rPr>
        <w:t>124</w:t>
      </w:r>
      <w:r w:rsidR="00E5048D" w:rsidRPr="002E3D2F">
        <w:rPr>
          <w:rFonts w:ascii="Times New Roman" w:eastAsia="Times New Roman" w:hAnsi="Times New Roman" w:cs="Times New Roman"/>
          <w:color w:val="000000"/>
        </w:rPr>
        <w:t xml:space="preserve">; see 20 U.S.C. § 1412(a)(10)(C)(ii); </w:t>
      </w:r>
      <w:r w:rsidR="00E5048D" w:rsidRPr="002E3D2F">
        <w:rPr>
          <w:rFonts w:ascii="Times New Roman" w:eastAsia="Times New Roman" w:hAnsi="Times New Roman" w:cs="Times New Roman"/>
          <w:i/>
          <w:iCs/>
          <w:color w:val="000000"/>
        </w:rPr>
        <w:t>Diaz-Fonseca</w:t>
      </w:r>
      <w:r w:rsidR="00E5048D" w:rsidRPr="002E3D2F">
        <w:rPr>
          <w:rFonts w:ascii="Times New Roman" w:eastAsia="Times New Roman" w:hAnsi="Times New Roman" w:cs="Times New Roman"/>
          <w:color w:val="000000"/>
        </w:rPr>
        <w:t xml:space="preserve"> 451 F.3d at 31, 37 and 37.</w:t>
      </w:r>
    </w:p>
  </w:footnote>
  <w:footnote w:id="19">
    <w:p w14:paraId="6AFCF2DB" w14:textId="77777777" w:rsidR="002C50FB" w:rsidRPr="002E3D2F" w:rsidRDefault="002C50FB" w:rsidP="002C50FB">
      <w:pPr>
        <w:pStyle w:val="FootnoteText"/>
        <w:rPr>
          <w:rFonts w:ascii="Times New Roman" w:hAnsi="Times New Roman" w:cs="Times New Roman"/>
        </w:rPr>
      </w:pPr>
      <w:r w:rsidRPr="002E3D2F">
        <w:rPr>
          <w:rStyle w:val="FootnoteReference"/>
          <w:rFonts w:ascii="Times New Roman" w:hAnsi="Times New Roman" w:cs="Times New Roman"/>
        </w:rPr>
        <w:footnoteRef/>
      </w:r>
      <w:r w:rsidRPr="002E3D2F">
        <w:rPr>
          <w:rFonts w:ascii="Times New Roman" w:hAnsi="Times New Roman" w:cs="Times New Roman"/>
        </w:rPr>
        <w:t xml:space="preserve">  M.G.L. c. </w:t>
      </w:r>
      <w:r w:rsidRPr="002E3D2F">
        <w:rPr>
          <w:rFonts w:ascii="Times New Roman" w:eastAsia="Times New Roman" w:hAnsi="Times New Roman" w:cs="Times New Roman"/>
          <w:color w:val="000000"/>
        </w:rPr>
        <w:t>71B §5</w:t>
      </w:r>
    </w:p>
  </w:footnote>
  <w:footnote w:id="20">
    <w:p w14:paraId="4B304631" w14:textId="2E132F26" w:rsidR="00CF2BEF" w:rsidRPr="00CF2BEF" w:rsidRDefault="00CF2BEF">
      <w:pPr>
        <w:pStyle w:val="FootnoteText"/>
      </w:pPr>
      <w:r w:rsidRPr="00CF2BEF">
        <w:rPr>
          <w:rStyle w:val="FootnoteReference"/>
        </w:rPr>
        <w:footnoteRef/>
      </w:r>
      <w:r w:rsidRPr="00CF2BEF">
        <w:t xml:space="preserve"> </w:t>
      </w:r>
      <w:r w:rsidRPr="00CF2BEF">
        <w:rPr>
          <w:rFonts w:ascii="Times New Roman" w:eastAsia="Times New Roman" w:hAnsi="Times New Roman" w:cs="Times New Roman"/>
          <w:bCs/>
          <w:color w:val="000000"/>
        </w:rPr>
        <w:t>M.G.L. c. 71B §2A</w:t>
      </w:r>
      <w:r>
        <w:rPr>
          <w:rFonts w:ascii="Times New Roman" w:eastAsia="Times New Roman" w:hAnsi="Times New Roman" w:cs="Times New Roman"/>
          <w:bCs/>
          <w:color w:val="000000"/>
        </w:rPr>
        <w:t xml:space="preserve">; </w:t>
      </w:r>
      <w:r w:rsidR="00BE640C" w:rsidRPr="002E3D2F">
        <w:rPr>
          <w:rFonts w:ascii="Times New Roman" w:hAnsi="Times New Roman" w:cs="Times New Roman"/>
          <w:i/>
          <w:iCs/>
        </w:rPr>
        <w:t>Ocasio-Hernandez</w:t>
      </w:r>
      <w:r w:rsidR="00BE640C" w:rsidRPr="002E3D2F">
        <w:rPr>
          <w:rFonts w:ascii="Times New Roman" w:hAnsi="Times New Roman" w:cs="Times New Roman"/>
        </w:rPr>
        <w:t>, 640 F.3d at 12</w:t>
      </w:r>
      <w:r w:rsidR="00BE640C" w:rsidRPr="00BE640C">
        <w:rPr>
          <w:rFonts w:ascii="Times New Roman" w:eastAsia="Times New Roman" w:hAnsi="Times New Roman" w:cs="Times New Roman"/>
          <w:i/>
          <w:iCs/>
          <w:bdr w:val="none" w:sz="0" w:space="0" w:color="auto" w:frame="1"/>
        </w:rPr>
        <w:t xml:space="preserve"> </w:t>
      </w:r>
      <w:r w:rsidR="00BE640C" w:rsidRPr="002E3D2F">
        <w:rPr>
          <w:rFonts w:ascii="Times New Roman" w:eastAsia="Times New Roman" w:hAnsi="Times New Roman" w:cs="Times New Roman"/>
          <w:i/>
          <w:iCs/>
          <w:bdr w:val="none" w:sz="0" w:space="0" w:color="auto" w:frame="1"/>
        </w:rPr>
        <w:t>citing Iqbal,</w:t>
      </w:r>
      <w:r w:rsidR="00BE640C" w:rsidRPr="002E3D2F">
        <w:rPr>
          <w:rFonts w:ascii="Times New Roman" w:eastAsia="Times New Roman" w:hAnsi="Times New Roman" w:cs="Times New Roman"/>
          <w:shd w:val="clear" w:color="auto" w:fill="FFFFFF"/>
        </w:rPr>
        <w:t> 129 S.Ct. at 1951.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C26DC"/>
    <w:multiLevelType w:val="hybridMultilevel"/>
    <w:tmpl w:val="D848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D52009"/>
    <w:multiLevelType w:val="hybridMultilevel"/>
    <w:tmpl w:val="51A48912"/>
    <w:lvl w:ilvl="0" w:tplc="DD107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836E9D"/>
    <w:multiLevelType w:val="hybridMultilevel"/>
    <w:tmpl w:val="FBE8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AE"/>
    <w:rsid w:val="000158A6"/>
    <w:rsid w:val="00036347"/>
    <w:rsid w:val="0003733C"/>
    <w:rsid w:val="0004684E"/>
    <w:rsid w:val="00046EF5"/>
    <w:rsid w:val="00072320"/>
    <w:rsid w:val="00090216"/>
    <w:rsid w:val="00095A99"/>
    <w:rsid w:val="000B75A3"/>
    <w:rsid w:val="000C05AA"/>
    <w:rsid w:val="000E54F9"/>
    <w:rsid w:val="000F784D"/>
    <w:rsid w:val="00120BE6"/>
    <w:rsid w:val="00127C38"/>
    <w:rsid w:val="00137361"/>
    <w:rsid w:val="0016258A"/>
    <w:rsid w:val="00165F7A"/>
    <w:rsid w:val="00172281"/>
    <w:rsid w:val="001817E8"/>
    <w:rsid w:val="00185E01"/>
    <w:rsid w:val="00186057"/>
    <w:rsid w:val="0019446B"/>
    <w:rsid w:val="001A2CD6"/>
    <w:rsid w:val="001B7EEB"/>
    <w:rsid w:val="001C0727"/>
    <w:rsid w:val="001C4761"/>
    <w:rsid w:val="001E10E6"/>
    <w:rsid w:val="001F2E10"/>
    <w:rsid w:val="00203B36"/>
    <w:rsid w:val="00206507"/>
    <w:rsid w:val="00227121"/>
    <w:rsid w:val="00231489"/>
    <w:rsid w:val="002331E7"/>
    <w:rsid w:val="00237C8C"/>
    <w:rsid w:val="002665BC"/>
    <w:rsid w:val="00296CAE"/>
    <w:rsid w:val="002C50FB"/>
    <w:rsid w:val="002C5D1D"/>
    <w:rsid w:val="002C612F"/>
    <w:rsid w:val="002E3D2F"/>
    <w:rsid w:val="002F459A"/>
    <w:rsid w:val="00305E4D"/>
    <w:rsid w:val="003620C0"/>
    <w:rsid w:val="0038602B"/>
    <w:rsid w:val="003B2D5B"/>
    <w:rsid w:val="003B54F7"/>
    <w:rsid w:val="003C192D"/>
    <w:rsid w:val="003C463F"/>
    <w:rsid w:val="003D0318"/>
    <w:rsid w:val="003F0A5A"/>
    <w:rsid w:val="00400906"/>
    <w:rsid w:val="0040181E"/>
    <w:rsid w:val="00402F4E"/>
    <w:rsid w:val="00406511"/>
    <w:rsid w:val="00425B02"/>
    <w:rsid w:val="00426269"/>
    <w:rsid w:val="00431F48"/>
    <w:rsid w:val="004516D2"/>
    <w:rsid w:val="00452B24"/>
    <w:rsid w:val="00454A54"/>
    <w:rsid w:val="00457778"/>
    <w:rsid w:val="0048661A"/>
    <w:rsid w:val="00490AE0"/>
    <w:rsid w:val="00493361"/>
    <w:rsid w:val="004955A1"/>
    <w:rsid w:val="004C3041"/>
    <w:rsid w:val="004E0078"/>
    <w:rsid w:val="004E1280"/>
    <w:rsid w:val="004E7F90"/>
    <w:rsid w:val="00503130"/>
    <w:rsid w:val="00567BE9"/>
    <w:rsid w:val="00567FBA"/>
    <w:rsid w:val="005717B1"/>
    <w:rsid w:val="005850D9"/>
    <w:rsid w:val="005B4FD4"/>
    <w:rsid w:val="005E6000"/>
    <w:rsid w:val="00605033"/>
    <w:rsid w:val="00613566"/>
    <w:rsid w:val="00641D8D"/>
    <w:rsid w:val="0066016D"/>
    <w:rsid w:val="00661971"/>
    <w:rsid w:val="006B4344"/>
    <w:rsid w:val="006F2D23"/>
    <w:rsid w:val="007240B1"/>
    <w:rsid w:val="00736135"/>
    <w:rsid w:val="007641EC"/>
    <w:rsid w:val="00767E1B"/>
    <w:rsid w:val="00767F83"/>
    <w:rsid w:val="007719BE"/>
    <w:rsid w:val="00787507"/>
    <w:rsid w:val="0079321E"/>
    <w:rsid w:val="007940B7"/>
    <w:rsid w:val="007A4B62"/>
    <w:rsid w:val="007A64F2"/>
    <w:rsid w:val="007D34D0"/>
    <w:rsid w:val="007D5ADE"/>
    <w:rsid w:val="00826821"/>
    <w:rsid w:val="00832A23"/>
    <w:rsid w:val="00841B2A"/>
    <w:rsid w:val="00860AF3"/>
    <w:rsid w:val="00871032"/>
    <w:rsid w:val="0089205D"/>
    <w:rsid w:val="008B0FF5"/>
    <w:rsid w:val="008B1A17"/>
    <w:rsid w:val="008B7CE0"/>
    <w:rsid w:val="008C4562"/>
    <w:rsid w:val="008D172E"/>
    <w:rsid w:val="008F51A2"/>
    <w:rsid w:val="00900EBE"/>
    <w:rsid w:val="0090671E"/>
    <w:rsid w:val="009161DE"/>
    <w:rsid w:val="00924950"/>
    <w:rsid w:val="0094696E"/>
    <w:rsid w:val="00984C56"/>
    <w:rsid w:val="0098673C"/>
    <w:rsid w:val="009A6AE1"/>
    <w:rsid w:val="009C1EEE"/>
    <w:rsid w:val="009C6413"/>
    <w:rsid w:val="009D32BB"/>
    <w:rsid w:val="009D547F"/>
    <w:rsid w:val="009D5FC1"/>
    <w:rsid w:val="009E193F"/>
    <w:rsid w:val="009E229A"/>
    <w:rsid w:val="00A302ED"/>
    <w:rsid w:val="00A474A6"/>
    <w:rsid w:val="00A56122"/>
    <w:rsid w:val="00A9071A"/>
    <w:rsid w:val="00A9178E"/>
    <w:rsid w:val="00AA09EC"/>
    <w:rsid w:val="00AB1564"/>
    <w:rsid w:val="00AB236C"/>
    <w:rsid w:val="00AB3142"/>
    <w:rsid w:val="00AB51BF"/>
    <w:rsid w:val="00AB5B97"/>
    <w:rsid w:val="00AC6406"/>
    <w:rsid w:val="00AF5AD5"/>
    <w:rsid w:val="00B25D39"/>
    <w:rsid w:val="00B43199"/>
    <w:rsid w:val="00B55821"/>
    <w:rsid w:val="00B57CF8"/>
    <w:rsid w:val="00B62F42"/>
    <w:rsid w:val="00B70E0B"/>
    <w:rsid w:val="00B710BE"/>
    <w:rsid w:val="00BA041E"/>
    <w:rsid w:val="00BE2AA9"/>
    <w:rsid w:val="00BE640C"/>
    <w:rsid w:val="00BF44BE"/>
    <w:rsid w:val="00C00887"/>
    <w:rsid w:val="00C34A2A"/>
    <w:rsid w:val="00C74480"/>
    <w:rsid w:val="00CA758D"/>
    <w:rsid w:val="00CA79B3"/>
    <w:rsid w:val="00CB7028"/>
    <w:rsid w:val="00CD6344"/>
    <w:rsid w:val="00CE5218"/>
    <w:rsid w:val="00CF2BEF"/>
    <w:rsid w:val="00CF78A2"/>
    <w:rsid w:val="00D17523"/>
    <w:rsid w:val="00D4447B"/>
    <w:rsid w:val="00D462A6"/>
    <w:rsid w:val="00D60CD0"/>
    <w:rsid w:val="00D64BAB"/>
    <w:rsid w:val="00D6530F"/>
    <w:rsid w:val="00DE0AA3"/>
    <w:rsid w:val="00DF0386"/>
    <w:rsid w:val="00DF7713"/>
    <w:rsid w:val="00E02D03"/>
    <w:rsid w:val="00E10679"/>
    <w:rsid w:val="00E219EF"/>
    <w:rsid w:val="00E4220C"/>
    <w:rsid w:val="00E5048D"/>
    <w:rsid w:val="00EA24CA"/>
    <w:rsid w:val="00EC2358"/>
    <w:rsid w:val="00ED00DB"/>
    <w:rsid w:val="00ED3BEF"/>
    <w:rsid w:val="00EE3828"/>
    <w:rsid w:val="00F036F8"/>
    <w:rsid w:val="00F1481A"/>
    <w:rsid w:val="00F20084"/>
    <w:rsid w:val="00F259AE"/>
    <w:rsid w:val="00F419B5"/>
    <w:rsid w:val="00F74886"/>
    <w:rsid w:val="00F8283F"/>
    <w:rsid w:val="00F833DF"/>
    <w:rsid w:val="00F921EF"/>
    <w:rsid w:val="00F92ADE"/>
    <w:rsid w:val="00F94D0D"/>
    <w:rsid w:val="00F972F2"/>
    <w:rsid w:val="00FA0959"/>
    <w:rsid w:val="00FD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5CA5"/>
  <w15:chartTrackingRefBased/>
  <w15:docId w15:val="{30182DF1-3305-45AB-A7E5-4CC38110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AE"/>
    <w:pPr>
      <w:spacing w:after="0" w:line="240" w:lineRule="auto"/>
    </w:pPr>
  </w:style>
  <w:style w:type="paragraph" w:styleId="Heading1">
    <w:name w:val="heading 1"/>
    <w:basedOn w:val="Normal"/>
    <w:next w:val="Normal"/>
    <w:link w:val="Heading1Char"/>
    <w:uiPriority w:val="9"/>
    <w:qFormat/>
    <w:rsid w:val="00CB70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96CA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6CAE"/>
    <w:rPr>
      <w:rFonts w:ascii="Times New Roman" w:eastAsia="Times New Roman" w:hAnsi="Times New Roman" w:cs="Times New Roman"/>
      <w:b/>
      <w:bCs/>
      <w:sz w:val="36"/>
      <w:szCs w:val="36"/>
    </w:rPr>
  </w:style>
  <w:style w:type="paragraph" w:styleId="ListParagraph">
    <w:name w:val="List Paragraph"/>
    <w:basedOn w:val="Normal"/>
    <w:uiPriority w:val="34"/>
    <w:qFormat/>
    <w:rsid w:val="00296CAE"/>
    <w:pPr>
      <w:ind w:left="720"/>
      <w:contextualSpacing/>
    </w:pPr>
  </w:style>
  <w:style w:type="paragraph" w:styleId="FootnoteText">
    <w:name w:val="footnote text"/>
    <w:basedOn w:val="Normal"/>
    <w:link w:val="FootnoteTextChar"/>
    <w:uiPriority w:val="99"/>
    <w:unhideWhenUsed/>
    <w:rsid w:val="00296CAE"/>
    <w:rPr>
      <w:sz w:val="20"/>
      <w:szCs w:val="20"/>
    </w:rPr>
  </w:style>
  <w:style w:type="character" w:customStyle="1" w:styleId="FootnoteTextChar">
    <w:name w:val="Footnote Text Char"/>
    <w:basedOn w:val="DefaultParagraphFont"/>
    <w:link w:val="FootnoteText"/>
    <w:uiPriority w:val="99"/>
    <w:rsid w:val="00296CAE"/>
    <w:rPr>
      <w:sz w:val="20"/>
      <w:szCs w:val="20"/>
    </w:rPr>
  </w:style>
  <w:style w:type="character" w:styleId="FootnoteReference">
    <w:name w:val="footnote reference"/>
    <w:basedOn w:val="DefaultParagraphFont"/>
    <w:unhideWhenUsed/>
    <w:rsid w:val="00296CAE"/>
    <w:rPr>
      <w:vertAlign w:val="superscript"/>
    </w:rPr>
  </w:style>
  <w:style w:type="paragraph" w:styleId="Footer">
    <w:name w:val="footer"/>
    <w:basedOn w:val="Normal"/>
    <w:link w:val="FooterChar"/>
    <w:uiPriority w:val="99"/>
    <w:unhideWhenUsed/>
    <w:rsid w:val="00296CAE"/>
    <w:pPr>
      <w:tabs>
        <w:tab w:val="center" w:pos="4680"/>
        <w:tab w:val="right" w:pos="9360"/>
      </w:tabs>
    </w:pPr>
  </w:style>
  <w:style w:type="character" w:customStyle="1" w:styleId="FooterChar">
    <w:name w:val="Footer Char"/>
    <w:basedOn w:val="DefaultParagraphFont"/>
    <w:link w:val="Footer"/>
    <w:uiPriority w:val="99"/>
    <w:rsid w:val="00296CAE"/>
  </w:style>
  <w:style w:type="character" w:styleId="Hyperlink">
    <w:name w:val="Hyperlink"/>
    <w:basedOn w:val="DefaultParagraphFont"/>
    <w:uiPriority w:val="99"/>
    <w:unhideWhenUsed/>
    <w:rsid w:val="00BE2AA9"/>
    <w:rPr>
      <w:color w:val="0563C1" w:themeColor="hyperlink"/>
      <w:u w:val="single"/>
    </w:rPr>
  </w:style>
  <w:style w:type="character" w:styleId="UnresolvedMention">
    <w:name w:val="Unresolved Mention"/>
    <w:basedOn w:val="DefaultParagraphFont"/>
    <w:uiPriority w:val="99"/>
    <w:semiHidden/>
    <w:unhideWhenUsed/>
    <w:rsid w:val="00BE2AA9"/>
    <w:rPr>
      <w:color w:val="605E5C"/>
      <w:shd w:val="clear" w:color="auto" w:fill="E1DFDD"/>
    </w:rPr>
  </w:style>
  <w:style w:type="character" w:customStyle="1" w:styleId="Heading1Char">
    <w:name w:val="Heading 1 Char"/>
    <w:basedOn w:val="DefaultParagraphFont"/>
    <w:link w:val="Heading1"/>
    <w:uiPriority w:val="9"/>
    <w:rsid w:val="00CB70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1308">
      <w:bodyDiv w:val="1"/>
      <w:marLeft w:val="0"/>
      <w:marRight w:val="0"/>
      <w:marTop w:val="0"/>
      <w:marBottom w:val="0"/>
      <w:divBdr>
        <w:top w:val="none" w:sz="0" w:space="0" w:color="auto"/>
        <w:left w:val="none" w:sz="0" w:space="0" w:color="auto"/>
        <w:bottom w:val="none" w:sz="0" w:space="0" w:color="auto"/>
        <w:right w:val="none" w:sz="0" w:space="0" w:color="auto"/>
      </w:divBdr>
      <w:divsChild>
        <w:div w:id="962612136">
          <w:marLeft w:val="0"/>
          <w:marRight w:val="0"/>
          <w:marTop w:val="0"/>
          <w:marBottom w:val="0"/>
          <w:divBdr>
            <w:top w:val="none" w:sz="0" w:space="0" w:color="auto"/>
            <w:left w:val="none" w:sz="0" w:space="0" w:color="auto"/>
            <w:bottom w:val="none" w:sz="0" w:space="0" w:color="auto"/>
            <w:right w:val="none" w:sz="0" w:space="0" w:color="auto"/>
          </w:divBdr>
        </w:div>
      </w:divsChild>
    </w:div>
    <w:div w:id="541551344">
      <w:bodyDiv w:val="1"/>
      <w:marLeft w:val="0"/>
      <w:marRight w:val="0"/>
      <w:marTop w:val="0"/>
      <w:marBottom w:val="0"/>
      <w:divBdr>
        <w:top w:val="none" w:sz="0" w:space="0" w:color="auto"/>
        <w:left w:val="none" w:sz="0" w:space="0" w:color="auto"/>
        <w:bottom w:val="none" w:sz="0" w:space="0" w:color="auto"/>
        <w:right w:val="none" w:sz="0" w:space="0" w:color="auto"/>
      </w:divBdr>
      <w:divsChild>
        <w:div w:id="227541206">
          <w:marLeft w:val="0"/>
          <w:marRight w:val="0"/>
          <w:marTop w:val="0"/>
          <w:marBottom w:val="0"/>
          <w:divBdr>
            <w:top w:val="none" w:sz="0" w:space="0" w:color="auto"/>
            <w:left w:val="none" w:sz="0" w:space="0" w:color="auto"/>
            <w:bottom w:val="none" w:sz="0" w:space="0" w:color="auto"/>
            <w:right w:val="none" w:sz="0" w:space="0" w:color="auto"/>
          </w:divBdr>
        </w:div>
      </w:divsChild>
    </w:div>
    <w:div w:id="1077508438">
      <w:bodyDiv w:val="1"/>
      <w:marLeft w:val="0"/>
      <w:marRight w:val="0"/>
      <w:marTop w:val="0"/>
      <w:marBottom w:val="0"/>
      <w:divBdr>
        <w:top w:val="none" w:sz="0" w:space="0" w:color="auto"/>
        <w:left w:val="none" w:sz="0" w:space="0" w:color="auto"/>
        <w:bottom w:val="none" w:sz="0" w:space="0" w:color="auto"/>
        <w:right w:val="none" w:sz="0" w:space="0" w:color="auto"/>
      </w:divBdr>
      <w:divsChild>
        <w:div w:id="1342050328">
          <w:marLeft w:val="240"/>
          <w:marRight w:val="0"/>
          <w:marTop w:val="60"/>
          <w:marBottom w:val="60"/>
          <w:divBdr>
            <w:top w:val="none" w:sz="0" w:space="0" w:color="auto"/>
            <w:left w:val="none" w:sz="0" w:space="0" w:color="auto"/>
            <w:bottom w:val="none" w:sz="0" w:space="0" w:color="auto"/>
            <w:right w:val="none" w:sz="0" w:space="0" w:color="auto"/>
          </w:divBdr>
          <w:divsChild>
            <w:div w:id="1380862146">
              <w:marLeft w:val="0"/>
              <w:marRight w:val="0"/>
              <w:marTop w:val="0"/>
              <w:marBottom w:val="0"/>
              <w:divBdr>
                <w:top w:val="none" w:sz="0" w:space="0" w:color="auto"/>
                <w:left w:val="none" w:sz="0" w:space="0" w:color="auto"/>
                <w:bottom w:val="none" w:sz="0" w:space="0" w:color="auto"/>
                <w:right w:val="none" w:sz="0" w:space="0" w:color="auto"/>
              </w:divBdr>
            </w:div>
          </w:divsChild>
        </w:div>
        <w:div w:id="766080320">
          <w:marLeft w:val="240"/>
          <w:marRight w:val="0"/>
          <w:marTop w:val="60"/>
          <w:marBottom w:val="60"/>
          <w:divBdr>
            <w:top w:val="none" w:sz="0" w:space="0" w:color="auto"/>
            <w:left w:val="none" w:sz="0" w:space="0" w:color="auto"/>
            <w:bottom w:val="none" w:sz="0" w:space="0" w:color="auto"/>
            <w:right w:val="none" w:sz="0" w:space="0" w:color="auto"/>
          </w:divBdr>
          <w:divsChild>
            <w:div w:id="20395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8818">
      <w:bodyDiv w:val="1"/>
      <w:marLeft w:val="0"/>
      <w:marRight w:val="0"/>
      <w:marTop w:val="0"/>
      <w:marBottom w:val="0"/>
      <w:divBdr>
        <w:top w:val="none" w:sz="0" w:space="0" w:color="auto"/>
        <w:left w:val="none" w:sz="0" w:space="0" w:color="auto"/>
        <w:bottom w:val="none" w:sz="0" w:space="0" w:color="auto"/>
        <w:right w:val="none" w:sz="0" w:space="0" w:color="auto"/>
      </w:divBdr>
      <w:divsChild>
        <w:div w:id="1236476395">
          <w:marLeft w:val="0"/>
          <w:marRight w:val="0"/>
          <w:marTop w:val="0"/>
          <w:marBottom w:val="0"/>
          <w:divBdr>
            <w:top w:val="none" w:sz="0" w:space="0" w:color="auto"/>
            <w:left w:val="none" w:sz="0" w:space="0" w:color="auto"/>
            <w:bottom w:val="none" w:sz="0" w:space="0" w:color="auto"/>
            <w:right w:val="none" w:sz="0" w:space="0" w:color="auto"/>
          </w:divBdr>
        </w:div>
      </w:divsChild>
    </w:div>
    <w:div w:id="1400136473">
      <w:bodyDiv w:val="1"/>
      <w:marLeft w:val="0"/>
      <w:marRight w:val="0"/>
      <w:marTop w:val="0"/>
      <w:marBottom w:val="0"/>
      <w:divBdr>
        <w:top w:val="none" w:sz="0" w:space="0" w:color="auto"/>
        <w:left w:val="none" w:sz="0" w:space="0" w:color="auto"/>
        <w:bottom w:val="none" w:sz="0" w:space="0" w:color="auto"/>
        <w:right w:val="none" w:sz="0" w:space="0" w:color="auto"/>
      </w:divBdr>
      <w:divsChild>
        <w:div w:id="738360926">
          <w:marLeft w:val="240"/>
          <w:marRight w:val="0"/>
          <w:marTop w:val="60"/>
          <w:marBottom w:val="60"/>
          <w:divBdr>
            <w:top w:val="none" w:sz="0" w:space="0" w:color="auto"/>
            <w:left w:val="none" w:sz="0" w:space="0" w:color="auto"/>
            <w:bottom w:val="none" w:sz="0" w:space="0" w:color="auto"/>
            <w:right w:val="none" w:sz="0" w:space="0" w:color="auto"/>
          </w:divBdr>
          <w:divsChild>
            <w:div w:id="91172938">
              <w:marLeft w:val="0"/>
              <w:marRight w:val="0"/>
              <w:marTop w:val="0"/>
              <w:marBottom w:val="0"/>
              <w:divBdr>
                <w:top w:val="none" w:sz="0" w:space="0" w:color="auto"/>
                <w:left w:val="none" w:sz="0" w:space="0" w:color="auto"/>
                <w:bottom w:val="none" w:sz="0" w:space="0" w:color="auto"/>
                <w:right w:val="none" w:sz="0" w:space="0" w:color="auto"/>
              </w:divBdr>
            </w:div>
          </w:divsChild>
        </w:div>
        <w:div w:id="297730854">
          <w:marLeft w:val="240"/>
          <w:marRight w:val="0"/>
          <w:marTop w:val="60"/>
          <w:marBottom w:val="60"/>
          <w:divBdr>
            <w:top w:val="none" w:sz="0" w:space="0" w:color="auto"/>
            <w:left w:val="none" w:sz="0" w:space="0" w:color="auto"/>
            <w:bottom w:val="none" w:sz="0" w:space="0" w:color="auto"/>
            <w:right w:val="none" w:sz="0" w:space="0" w:color="auto"/>
          </w:divBdr>
          <w:divsChild>
            <w:div w:id="3830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7559">
      <w:bodyDiv w:val="1"/>
      <w:marLeft w:val="0"/>
      <w:marRight w:val="0"/>
      <w:marTop w:val="0"/>
      <w:marBottom w:val="0"/>
      <w:divBdr>
        <w:top w:val="none" w:sz="0" w:space="0" w:color="auto"/>
        <w:left w:val="none" w:sz="0" w:space="0" w:color="auto"/>
        <w:bottom w:val="none" w:sz="0" w:space="0" w:color="auto"/>
        <w:right w:val="none" w:sz="0" w:space="0" w:color="auto"/>
      </w:divBdr>
      <w:divsChild>
        <w:div w:id="1293436215">
          <w:marLeft w:val="0"/>
          <w:marRight w:val="0"/>
          <w:marTop w:val="0"/>
          <w:marBottom w:val="0"/>
          <w:divBdr>
            <w:top w:val="none" w:sz="0" w:space="0" w:color="auto"/>
            <w:left w:val="none" w:sz="0" w:space="0" w:color="auto"/>
            <w:bottom w:val="none" w:sz="0" w:space="0" w:color="auto"/>
            <w:right w:val="none" w:sz="0" w:space="0" w:color="auto"/>
          </w:divBdr>
        </w:div>
      </w:divsChild>
    </w:div>
    <w:div w:id="1789621064">
      <w:bodyDiv w:val="1"/>
      <w:marLeft w:val="0"/>
      <w:marRight w:val="0"/>
      <w:marTop w:val="0"/>
      <w:marBottom w:val="0"/>
      <w:divBdr>
        <w:top w:val="none" w:sz="0" w:space="0" w:color="auto"/>
        <w:left w:val="none" w:sz="0" w:space="0" w:color="auto"/>
        <w:bottom w:val="none" w:sz="0" w:space="0" w:color="auto"/>
        <w:right w:val="none" w:sz="0" w:space="0" w:color="auto"/>
      </w:divBdr>
      <w:divsChild>
        <w:div w:id="1892496390">
          <w:marLeft w:val="0"/>
          <w:marRight w:val="0"/>
          <w:marTop w:val="0"/>
          <w:marBottom w:val="0"/>
          <w:divBdr>
            <w:top w:val="none" w:sz="0" w:space="0" w:color="auto"/>
            <w:left w:val="none" w:sz="0" w:space="0" w:color="auto"/>
            <w:bottom w:val="none" w:sz="0" w:space="0" w:color="auto"/>
            <w:right w:val="none" w:sz="0" w:space="0" w:color="auto"/>
          </w:divBdr>
        </w:div>
      </w:divsChild>
    </w:div>
    <w:div w:id="1886792357">
      <w:bodyDiv w:val="1"/>
      <w:marLeft w:val="0"/>
      <w:marRight w:val="0"/>
      <w:marTop w:val="0"/>
      <w:marBottom w:val="0"/>
      <w:divBdr>
        <w:top w:val="none" w:sz="0" w:space="0" w:color="auto"/>
        <w:left w:val="none" w:sz="0" w:space="0" w:color="auto"/>
        <w:bottom w:val="none" w:sz="0" w:space="0" w:color="auto"/>
        <w:right w:val="none" w:sz="0" w:space="0" w:color="auto"/>
      </w:divBdr>
      <w:divsChild>
        <w:div w:id="780995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1.next.westlaw.com/Document/I90623386439011de8bf6cd8525c41437/View/FullText.html?originationContext=docHeader&amp;contextData=(sc.DocLink)&amp;transitionType=Document&amp;needToInjectTerms=False&amp;docSource=b54ca8a4c94a4fe89d4733814ecf64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4A32-8332-494E-A9A5-995E0AEC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cp:lastPrinted>2022-03-22T19:49:00Z</cp:lastPrinted>
  <dcterms:created xsi:type="dcterms:W3CDTF">2022-03-29T15:44:00Z</dcterms:created>
  <dcterms:modified xsi:type="dcterms:W3CDTF">2022-03-29T15:44:00Z</dcterms:modified>
</cp:coreProperties>
</file>